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43"/>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43"/>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南医大常州医疗健康科技园新建工程一期科研平台三合一超高分辨</w:t>
      </w:r>
      <w:r>
        <w:rPr>
          <w:rFonts w:hint="eastAsia"/>
          <w:bCs/>
          <w:sz w:val="36"/>
          <w:szCs w:val="36"/>
        </w:rPr>
        <w:t xml:space="preserve">液质联用</w:t>
      </w:r>
      <w:r>
        <w:rPr>
          <w:rFonts w:hint="eastAsia"/>
          <w:bCs/>
          <w:sz w:val="36"/>
          <w:szCs w:val="36"/>
        </w:rPr>
        <w:t xml:space="preserve">仪采购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rFonts w:asciiTheme="minorEastAsia" w:hAnsiTheme="minorEastAsia" w:eastAsiaTheme="minorEastAsia"/>
          <w:bCs/>
          <w:sz w:val="36"/>
          <w:szCs w:val="36"/>
        </w:rPr>
        <w:t xml:space="preserve"> </w:t>
      </w:r>
      <w:r>
        <w:rPr>
          <w:rFonts w:asciiTheme="minorEastAsia" w:hAnsiTheme="minorEastAsia" w:eastAsiaTheme="minorEastAsia"/>
          <w:bCs/>
          <w:sz w:val="36"/>
          <w:szCs w:val="36"/>
        </w:rPr>
        <w:t xml:space="preserve">JSZC-320412-XHJS-G2025-0039</w:t>
      </w:r>
      <w:r>
        <w:rPr>
          <w:rFonts w:hint="eastAsia" w:asciiTheme="minorEastAsia" w:hAnsiTheme="minorEastAsia" w:eastAsia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92"/>
        <w:spacing w:line="360" w:lineRule="auto"/>
        <w:rPr>
          <w:rFonts w:ascii="Calibri" w:hAnsi="Calibri"/>
          <w:b w:val="0"/>
          <w:sz w:val="21"/>
          <w:szCs w:val="22"/>
        </w:rPr>
      </w:pPr>
      <w:r>
        <w:rPr>
          <w:rFonts w:ascii="Calibri" w:hAnsi="Calibri"/>
          <w:b w:val="0"/>
          <w:sz w:val="21"/>
          <w:szCs w:val="22"/>
        </w:rPr>
      </w:r>
      <w:r/>
    </w:p>
    <w:p>
      <w:pPr>
        <w:pStyle w:val="992"/>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43"/>
        <w:rPr>
          <w:rFonts w:hint="eastAsia"/>
          <w:color w:val="auto"/>
        </w:rPr>
      </w:pPr>
      <w:r>
        <w:rPr>
          <w:rFonts w:hint="eastAsia"/>
          <w:color w:val="auto"/>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43"/>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3"/>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43"/>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南医大常州医疗健康科技园新建工程一期科研平台三合一超高分辨</w:t>
      </w:r>
      <w:r>
        <w:rPr>
          <w:rFonts w:hint="eastAsia" w:ascii="宋体" w:hAnsi="宋体"/>
          <w:bCs/>
          <w:sz w:val="24"/>
          <w:u w:val="single"/>
        </w:rPr>
        <w:t xml:space="preserve">液质联用</w:t>
      </w:r>
      <w:r>
        <w:rPr>
          <w:rFonts w:hint="eastAsia" w:ascii="宋体" w:hAnsi="宋体"/>
          <w:bCs/>
          <w:sz w:val="24"/>
          <w:u w:val="single"/>
        </w:rPr>
        <w:t xml:space="preserve">仪采购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ascii="宋体" w:hAnsi="宋体"/>
          <w:sz w:val="24"/>
        </w:rPr>
        <w:t xml:space="preserve">5</w:t>
      </w:r>
      <w:r>
        <w:rPr>
          <w:rFonts w:hint="eastAsia" w:ascii="宋体" w:hAnsi="宋体"/>
          <w:bCs/>
          <w:sz w:val="24"/>
        </w:rPr>
        <w:t xml:space="preserve">年</w:t>
      </w:r>
      <w:r>
        <w:rPr>
          <w:rFonts w:hint="eastAsia" w:ascii="宋体" w:hAnsi="宋体"/>
          <w:bCs/>
          <w:sz w:val="24"/>
        </w:rPr>
        <w:t xml:space="preserve">11</w:t>
      </w:r>
      <w:r>
        <w:rPr>
          <w:rFonts w:hint="eastAsia" w:ascii="宋体" w:hAnsi="宋体"/>
          <w:bCs/>
          <w:sz w:val="24"/>
        </w:rPr>
        <w:t xml:space="preserve">月</w:t>
      </w:r>
      <w:r>
        <w:rPr>
          <w:rFonts w:hint="eastAsia" w:ascii="宋体" w:hAnsi="宋体"/>
          <w:bCs/>
          <w:sz w:val="24"/>
        </w:rPr>
        <w:t xml:space="preserve">14</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 分（北京时间）前递交投标</w:t>
      </w:r>
      <w:r>
        <w:rPr>
          <w:rFonts w:ascii="宋体" w:hAnsi="宋体"/>
          <w:bCs/>
          <w:sz w:val="24"/>
        </w:rPr>
        <w:t xml:space="preserve">文件</w:t>
      </w:r>
      <w:r>
        <w:rPr>
          <w:rFonts w:hint="eastAsia" w:ascii="宋体" w:hAnsi="宋体"/>
          <w:sz w:val="24"/>
        </w:rPr>
        <w:t xml:space="preserve">。</w:t>
      </w:r>
      <w:r/>
    </w:p>
    <w:p>
      <w:pPr>
        <w:pStyle w:val="808"/>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Theme="minorEastAsia" w:hAnsiTheme="minorEastAsia" w:eastAsiaTheme="minorEastAsia"/>
          <w:sz w:val="24"/>
        </w:rPr>
        <w:t xml:space="preserve">JSZC-320412-XHJS-G2025-0039</w:t>
      </w:r>
      <w:r>
        <w:rPr>
          <w:rFonts w:hint="eastAsia"/>
          <w:sz w:val="24"/>
        </w:rPr>
        <w:t xml:space="preserve"> </w:t>
      </w: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asciiTheme="minorEastAsia" w:hAnsiTheme="minorEastAsia" w:eastAsiaTheme="minorEastAsia"/>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南医大常州医疗健康科技园新建工程一期科研平台三合一超高分辨</w:t>
      </w:r>
      <w:r>
        <w:rPr>
          <w:rFonts w:hint="eastAsia"/>
          <w:sz w:val="24"/>
        </w:rPr>
        <w:t xml:space="preserve">液质联用</w:t>
      </w:r>
      <w:r>
        <w:rPr>
          <w:rFonts w:hint="eastAsia"/>
          <w:sz w:val="24"/>
        </w:rPr>
        <w:t xml:space="preserve">仪采购</w:t>
      </w:r>
      <w:r/>
    </w:p>
    <w:p>
      <w:pPr>
        <w:ind w:firstLine="480"/>
        <w:spacing w:line="360" w:lineRule="auto"/>
        <w:rPr>
          <w:sz w:val="24"/>
        </w:rPr>
      </w:pPr>
      <w:r>
        <w:rPr>
          <w:sz w:val="24"/>
        </w:rPr>
        <w:t xml:space="preserve">3.</w:t>
      </w:r>
      <w:r>
        <w:rPr>
          <w:sz w:val="24"/>
        </w:rPr>
        <w:t xml:space="preserve">项目预算金额：</w:t>
      </w:r>
      <w:r>
        <w:rPr>
          <w:rFonts w:hint="eastAsia"/>
          <w:sz w:val="24"/>
        </w:rPr>
        <w:t xml:space="preserve">1639</w:t>
      </w:r>
      <w:r>
        <w:rPr>
          <w:sz w:val="24"/>
        </w:rPr>
        <w:t xml:space="preserve">万元</w:t>
      </w:r>
      <w:r/>
    </w:p>
    <w:p>
      <w:pPr>
        <w:ind w:firstLine="480"/>
        <w:spacing w:line="360" w:lineRule="auto"/>
        <w:rPr>
          <w:sz w:val="24"/>
        </w:rPr>
      </w:pPr>
      <w:r>
        <w:rPr>
          <w:rFonts w:hint="eastAsia"/>
          <w:sz w:val="24"/>
        </w:rPr>
        <w:t xml:space="preserve">4.</w:t>
      </w:r>
      <w:r>
        <w:rPr>
          <w:sz w:val="24"/>
        </w:rPr>
        <w:t xml:space="preserve">项目最高限价：</w:t>
      </w:r>
      <w:r>
        <w:rPr>
          <w:rFonts w:hint="eastAsia"/>
          <w:sz w:val="24"/>
        </w:rPr>
        <w:t xml:space="preserve">1622</w:t>
      </w:r>
      <w:r>
        <w:rPr>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w:t>
      </w:r>
      <w:r>
        <w:rPr>
          <w:rFonts w:hint="eastAsia"/>
          <w:bCs/>
          <w:sz w:val="24"/>
        </w:rPr>
        <w:t xml:space="preserve">南医大常州医疗健康科技园新建工程一期科研平台三合一超高分辨</w:t>
      </w:r>
      <w:r>
        <w:rPr>
          <w:rFonts w:hint="eastAsia"/>
          <w:bCs/>
          <w:sz w:val="24"/>
        </w:rPr>
        <w:t xml:space="preserve">液质联用</w:t>
      </w:r>
      <w:r>
        <w:rPr>
          <w:rFonts w:hint="eastAsia"/>
          <w:bCs/>
          <w:sz w:val="24"/>
        </w:rPr>
        <w:t xml:space="preserve">仪采购</w:t>
      </w:r>
      <w:r>
        <w:rPr>
          <w:rFonts w:hint="eastAsia" w:ascii="宋体" w:hAnsi="宋体"/>
          <w:sz w:val="24"/>
        </w:rPr>
        <w:t xml:space="preserve">项目，包括相应产品供货前的准备（包括现场踏勘、技术核对等）、产品设计、制造、采购、运输、装卸、安装、调试、技术指导培训、检验、质保期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rPr>
          <w:b/>
          <w:bCs/>
          <w:sz w:val="24"/>
        </w:rPr>
        <w:t xml:space="preserve">本项目</w:t>
      </w:r>
      <w:r>
        <w:rPr>
          <w:b/>
          <w:bCs/>
          <w:sz w:val="24"/>
          <w:u w:val="single"/>
        </w:rPr>
        <w:t xml:space="preserve">接受</w:t>
      </w:r>
      <w:r>
        <w:rPr>
          <w:rFonts w:hint="eastAsia"/>
          <w:b/>
          <w:bCs/>
          <w:sz w:val="24"/>
        </w:rPr>
        <w:t xml:space="preserve">进口产品</w:t>
      </w:r>
      <w:r>
        <w:rPr>
          <w:b/>
          <w:bCs/>
          <w:sz w:val="24"/>
        </w:rPr>
        <w:t xml:space="preserve">投标</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w:t>
      </w:r>
      <w:r>
        <w:rPr>
          <w:rFonts w:hint="eastAsia"/>
          <w:sz w:val="24"/>
        </w:rPr>
        <w:t xml:space="preserve">。</w:t>
      </w:r>
      <w:r/>
    </w:p>
    <w:p>
      <w:pPr>
        <w:pStyle w:val="808"/>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w:t>
      </w:r>
      <w:r>
        <w:rPr>
          <w:rFonts w:ascii="宋体" w:hAnsi="宋体"/>
          <w:sz w:val="24"/>
        </w:rPr>
        <w:t xml:space="preserve">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sz w:val="24"/>
        </w:rPr>
      </w:pPr>
      <w:r>
        <w:rPr>
          <w:sz w:val="24"/>
        </w:rPr>
        <w:t xml:space="preserve">3.3</w:t>
      </w:r>
      <w:r>
        <w:rPr>
          <w:sz w:val="24"/>
        </w:rPr>
        <w:t xml:space="preserve">其他特定资格要求：</w:t>
      </w:r>
      <w:r/>
    </w:p>
    <w:p>
      <w:pPr>
        <w:ind w:firstLine="540"/>
        <w:spacing w:line="360" w:lineRule="auto"/>
        <w:rPr>
          <w:rFonts w:hint="eastAsia" w:ascii="宋体" w:hAnsi="宋体" w:cs="宋体"/>
          <w:b/>
          <w:bCs/>
          <w:sz w:val="24"/>
        </w:rPr>
      </w:pPr>
      <w:r>
        <w:rPr>
          <w:rFonts w:hint="eastAsia" w:ascii="宋体" w:hAnsi="宋体" w:cs="宋体"/>
          <w:b/>
          <w:bCs/>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sz w:val="24"/>
        </w:rPr>
      </w:pPr>
      <w:r>
        <w:rPr>
          <w:rFonts w:hint="eastAsia" w:ascii="宋体" w:hAnsi="宋体" w:cs="宋体"/>
          <w:b/>
          <w:bCs/>
          <w:sz w:val="24"/>
        </w:rPr>
        <w:t xml:space="preserve">1.2、投标人为所投进口设备的授权经销（代理）商，必须提供制造（生产）商授权投标人的授权书或上级经销（代理）商授权投标人的授权书,并提供逐级经销（代理）商的证书扫描件。</w:t>
      </w:r>
      <w:r/>
    </w:p>
    <w:p>
      <w:pPr>
        <w:ind w:firstLine="540"/>
        <w:spacing w:line="360" w:lineRule="auto"/>
        <w:rPr>
          <w:rFonts w:hint="eastAsia" w:ascii="宋体" w:hAnsi="宋体" w:cs="宋体"/>
          <w:b/>
          <w:bCs/>
          <w:sz w:val="24"/>
        </w:rPr>
      </w:pPr>
      <w:r>
        <w:rPr>
          <w:rFonts w:hint="eastAsia" w:ascii="宋体" w:hAnsi="宋体" w:cs="宋体"/>
          <w:b/>
          <w:bCs/>
          <w:sz w:val="24"/>
        </w:rPr>
        <w:t xml:space="preserve">2、投标人为所投国产设备的授权经销（代理）商，必须提供制造（生产）商授权投标人的授权书扫描件。</w:t>
      </w:r>
      <w:r/>
    </w:p>
    <w:p>
      <w:pPr>
        <w:pStyle w:val="808"/>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w:t>
      </w:r>
      <w:r>
        <w:rPr>
          <w:sz w:val="24"/>
          <w:lang w:bidi="ar"/>
        </w:rPr>
        <w:t xml:space="preserve">5</w:t>
      </w:r>
      <w:r>
        <w:rPr>
          <w:rFonts w:hint="eastAsia"/>
          <w:sz w:val="24"/>
          <w:lang w:bidi="ar"/>
        </w:rPr>
        <w:t xml:space="preserve">年</w:t>
      </w:r>
      <w:r>
        <w:rPr>
          <w:rFonts w:hint="eastAsia"/>
          <w:sz w:val="24"/>
          <w:lang w:bidi="ar"/>
        </w:rPr>
        <w:t xml:space="preserve">10</w:t>
      </w:r>
      <w:r>
        <w:rPr>
          <w:rFonts w:hint="eastAsia"/>
          <w:sz w:val="24"/>
          <w:lang w:bidi="ar"/>
        </w:rPr>
        <w:t xml:space="preserve">月</w:t>
      </w:r>
      <w:r>
        <w:rPr>
          <w:rFonts w:hint="eastAsia"/>
          <w:sz w:val="24"/>
          <w:lang w:bidi="ar"/>
        </w:rPr>
        <w:t xml:space="preserve">28</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43"/>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808"/>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sz w:val="24"/>
          <w:lang w:bidi="ar"/>
        </w:rPr>
        <w:t xml:space="preserve">202</w:t>
      </w:r>
      <w:r>
        <w:rPr>
          <w:sz w:val="24"/>
          <w:lang w:bidi="ar"/>
        </w:rPr>
        <w:t xml:space="preserve">5</w:t>
      </w:r>
      <w:r>
        <w:rPr>
          <w:sz w:val="24"/>
          <w:lang w:bidi="ar"/>
        </w:rPr>
        <w:t xml:space="preserve">年</w:t>
      </w:r>
      <w:r>
        <w:rPr>
          <w:rFonts w:hint="eastAsia"/>
          <w:sz w:val="24"/>
          <w:lang w:bidi="ar"/>
        </w:rPr>
        <w:t xml:space="preserve">11</w:t>
      </w:r>
      <w:r>
        <w:rPr>
          <w:sz w:val="24"/>
          <w:lang w:bidi="ar"/>
        </w:rPr>
        <w:t xml:space="preserve">月</w:t>
      </w:r>
      <w:r>
        <w:rPr>
          <w:rFonts w:hint="eastAsia"/>
          <w:sz w:val="24"/>
          <w:lang w:bidi="ar"/>
        </w:rPr>
        <w:t xml:space="preserve">14</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808"/>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808"/>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808"/>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43"/>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3"/>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08"/>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1015"/>
              <w:spacing w:line="360" w:lineRule="exact"/>
              <w:rPr>
                <w:rFonts w:hAnsi="宋体"/>
                <w:sz w:val="24"/>
                <w:szCs w:val="24"/>
              </w:rPr>
            </w:pPr>
            <w:r>
              <w:rPr>
                <w:rFonts w:hAnsi="宋体"/>
                <w:sz w:val="24"/>
                <w:szCs w:val="24"/>
              </w:rPr>
              <w:t xml:space="preserve">关于核心产品本项目</w:t>
            </w:r>
            <w:r>
              <w:rPr>
                <w:rFonts w:hint="default" w:ascii="Wingdings 2" w:hAnsi="Wingdings 2" w:eastAsia="Wingdings 2" w:cs="Wingdings 2"/>
                <w:sz w:val="24"/>
                <w:szCs w:val="24"/>
              </w:rPr>
              <w:t xml:space="preserve"></w:t>
            </w:r>
            <w:r>
              <w:rPr>
                <w:rFonts w:hAnsi="宋体"/>
                <w:sz w:val="24"/>
                <w:szCs w:val="24"/>
              </w:rPr>
              <w:t xml:space="preserve">适用   </w:t>
            </w:r>
            <w:r>
              <w:rPr>
                <w:rFonts w:hAnsi="宋体" w:cs="Segoe UI Symbol"/>
                <w:sz w:val="24"/>
              </w:rPr>
              <w:t xml:space="preserve">■</w:t>
            </w:r>
            <w:r>
              <w:rPr>
                <w:rFonts w:hAnsi="宋体"/>
                <w:sz w:val="24"/>
                <w:szCs w:val="24"/>
              </w:rPr>
              <w:t xml:space="preserve">不适用。</w:t>
            </w:r>
            <w:r/>
          </w:p>
          <w:p>
            <w:pPr>
              <w:pStyle w:val="1015"/>
              <w:spacing w:line="360" w:lineRule="exact"/>
              <w:rPr>
                <w:rFonts w:hAnsi="宋体"/>
                <w:sz w:val="24"/>
                <w:szCs w:val="24"/>
              </w:rPr>
            </w:pPr>
            <w:r>
              <w:rPr>
                <w:rFonts w:hAnsi="宋体" w:cs="Segoe UI Symbol"/>
                <w:sz w:val="24"/>
              </w:rPr>
              <w:t xml:space="preserve">■</w:t>
            </w:r>
            <w:r>
              <w:rPr>
                <w:rFonts w:hAnsi="宋体"/>
                <w:sz w:val="24"/>
                <w:szCs w:val="24"/>
              </w:rPr>
              <w:t xml:space="preserve">本项目为单一产品采购项目。</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本项目为非单一产品采购项目，核心产品为：</w:t>
            </w:r>
            <w:r>
              <w:rPr>
                <w:rFonts w:hint="eastAsia" w:ascii="宋体" w:hAnsi="宋体"/>
                <w:sz w:val="24"/>
              </w:rPr>
              <w:t xml:space="preserve">/ </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32"/>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32"/>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32"/>
              <w:ind w:firstLine="0"/>
              <w:spacing w:before="0" w:line="300" w:lineRule="exact"/>
              <w:rPr>
                <w:rFonts w:hint="eastAsia"/>
              </w:rPr>
            </w:pPr>
            <w:r>
              <w:rPr>
                <w:rFonts w:hint="eastAsia"/>
              </w:rPr>
              <w:t xml:space="preserve">（3）样品不能出现制造厂或投标人的标志、标记。</w:t>
            </w:r>
            <w:r/>
          </w:p>
          <w:p>
            <w:pPr>
              <w:pStyle w:val="1032"/>
              <w:ind w:firstLine="0"/>
              <w:spacing w:before="0" w:line="300" w:lineRule="exact"/>
              <w:rPr>
                <w:rFonts w:hint="eastAsia"/>
              </w:rPr>
            </w:pPr>
            <w:r>
              <w:rPr>
                <w:rFonts w:hint="eastAsia"/>
              </w:rPr>
              <w:t xml:space="preserve">（4）样品递交及退还必须出具投标人的授权委托书及被授权委托人身份证。</w:t>
            </w:r>
            <w:r/>
          </w:p>
          <w:p>
            <w:pPr>
              <w:pStyle w:val="1032"/>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660"/>
        </w:trPr>
        <w:tc>
          <w:tcPr>
            <w:tcW w:w="988" w:type="dxa"/>
            <w:vAlign w:val="center"/>
            <w:textDirection w:val="lrTb"/>
            <w:noWrap w:val="false"/>
          </w:tcPr>
          <w:p>
            <w:pPr>
              <w:pStyle w:val="1015"/>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br w:type="page" w:clear="all"/>
            </w:r>
            <w:r>
              <w:rPr>
                <w:rFonts w:hint="default"/>
              </w:rPr>
              <w:t xml:space="preserve">9</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15"/>
              <w:jc w:val="center"/>
              <w:spacing w:line="360" w:lineRule="exact"/>
              <w:rPr>
                <w:rFonts w:hint="default"/>
              </w:rPr>
            </w:pPr>
            <w:r>
              <w:br w:type="page" w:clear="all"/>
            </w: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2025年</w:t>
            </w:r>
            <w:r>
              <w:rPr>
                <w:rFonts w:hint="eastAsia" w:ascii="宋体" w:hAnsi="宋体"/>
                <w:sz w:val="24"/>
              </w:rPr>
              <w:t xml:space="preserve">10</w:t>
            </w:r>
            <w:r>
              <w:rPr>
                <w:rFonts w:ascii="宋体" w:hAnsi="宋体"/>
                <w:sz w:val="24"/>
              </w:rPr>
              <w:t xml:space="preserve">月</w:t>
            </w:r>
            <w:r>
              <w:rPr>
                <w:rFonts w:hint="eastAsia" w:ascii="宋体" w:hAnsi="宋体"/>
                <w:sz w:val="24"/>
              </w:rPr>
              <w:t xml:space="preserve"> </w:t>
            </w:r>
            <w:r>
              <w:rPr>
                <w:rFonts w:hint="eastAsia" w:ascii="宋体" w:hAnsi="宋体"/>
                <w:sz w:val="24"/>
              </w:rPr>
              <w:t xml:space="preserve">29</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43"/>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43"/>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3"/>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rPr>
                <w:rFonts w:hint="eastAsia"/>
                <w:color w:val="auto"/>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1015"/>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hint="eastAsia"/>
                <w:sz w:val="24"/>
              </w:rPr>
              <w:t xml:space="preserve">以</w:t>
            </w:r>
            <w:r>
              <w:rPr>
                <w:rFonts w:hint="eastAsia"/>
                <w:sz w:val="24"/>
              </w:rPr>
              <w:t xml:space="preserve">发改价格</w:t>
            </w:r>
            <w:r>
              <w:rPr>
                <w:rFonts w:hint="eastAsia"/>
                <w:sz w:val="24"/>
              </w:rPr>
              <w:t xml:space="preserve">【</w:t>
            </w:r>
            <w:r>
              <w:rPr>
                <w:rFonts w:hint="eastAsia"/>
                <w:sz w:val="24"/>
              </w:rPr>
              <w:t xml:space="preserve">2011</w:t>
            </w:r>
            <w:r>
              <w:rPr>
                <w:rFonts w:hint="eastAsia"/>
                <w:sz w:val="24"/>
              </w:rPr>
              <w:t xml:space="preserve">】</w:t>
            </w:r>
            <w:r>
              <w:rPr>
                <w:rFonts w:hint="eastAsia"/>
                <w:sz w:val="24"/>
              </w:rPr>
              <w:t xml:space="preserve">534</w:t>
            </w:r>
            <w:r>
              <w:rPr>
                <w:rFonts w:hint="eastAsia"/>
                <w:sz w:val="24"/>
              </w:rPr>
              <w:t xml:space="preserve">号文标准的</w:t>
            </w:r>
            <w:r>
              <w:rPr>
                <w:rFonts w:hint="eastAsia"/>
                <w:sz w:val="24"/>
              </w:rPr>
              <w:t xml:space="preserve">50</w:t>
            </w:r>
            <w:r>
              <w:rPr>
                <w:rFonts w:hint="eastAsia"/>
                <w:sz w:val="24"/>
              </w:rPr>
              <w:t xml:space="preserve">%</w:t>
            </w:r>
            <w:r>
              <w:rPr>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w:t>
            </w:r>
            <w:r>
              <w:rPr>
                <w:rFonts w:hint="eastAsia"/>
                <w:sz w:val="24"/>
              </w:rPr>
              <w:t xml:space="preserve">中标</w:t>
            </w:r>
            <w:r>
              <w:rPr>
                <w:rFonts w:hint="eastAsia"/>
                <w:sz w:val="24"/>
              </w:rPr>
              <w:t xml:space="preserve">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808"/>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808"/>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r/>
      <w:bookmarkEnd w:id="201"/>
      <w:r/>
      <w:bookmarkEnd w:id="202"/>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spacing w:line="500" w:lineRule="exact"/>
        <w:rPr>
          <w:rFonts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spacing w:line="500" w:lineRule="exact"/>
        <w:rPr>
          <w:rFonts w:hint="eastAsia"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w:t>
      </w:r>
      <w:r>
        <w:rPr>
          <w:rFonts w:hint="eastAsia" w:ascii="宋体" w:hAnsi="宋体"/>
          <w:sz w:val="24"/>
        </w:rPr>
        <w:t xml:space="preserve">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w:t>
      </w:r>
      <w:r>
        <w:rPr>
          <w:rFonts w:hint="eastAsia" w:ascii="宋体" w:hAnsi="宋体"/>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w:t>
      </w:r>
      <w:r>
        <w:rPr>
          <w:rFonts w:hint="eastAsia"/>
          <w:sz w:val="24"/>
        </w:rPr>
        <w:t xml:space="preserve">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43"/>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3"/>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43"/>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bookmarkEnd w:id="225"/>
      <w:r/>
      <w:bookmarkEnd w:id="226"/>
      <w:r/>
      <w:bookmarkEnd w:id="227"/>
      <w:r>
        <w:rPr>
          <w:rFonts w:ascii="宋体" w:hAnsi="宋体"/>
          <w:b/>
          <w:bCs/>
          <w:sz w:val="24"/>
        </w:rPr>
        <w:t xml:space="preserve">中小企业、监狱企业及残疾人福利性单位</w:t>
      </w:r>
      <w:r/>
    </w:p>
    <w:p>
      <w:pPr>
        <w:pStyle w:val="1043"/>
        <w:ind w:firstLine="480"/>
        <w:spacing w:line="500" w:lineRule="exact"/>
        <w:rPr>
          <w:rFonts w:hint="eastAsia"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中小企业是指在中华人民共和国境内依法设立，依据国务院批准的中小企业划分标准确定的中型企业、小型企业和微型企业，但与大企业的负责人为同</w:t>
      </w:r>
      <w:r>
        <w:rPr>
          <w:rFonts w:ascii="宋体" w:hAnsi="宋体"/>
          <w:sz w:val="24"/>
        </w:rPr>
        <w:t xml:space="preserve">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供应商提供的货物、工程或者服务符合下列情形的，享受中小企业扶持政策：</w:t>
      </w:r>
      <w:r/>
    </w:p>
    <w:p>
      <w:pPr>
        <w:spacing w:line="500" w:lineRule="exact"/>
        <w:tabs>
          <w:tab w:val="left" w:pos="1980" w:leader="none"/>
        </w:tabs>
        <w:rPr>
          <w:rFonts w:hint="eastAsia"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500" w:lineRule="exact"/>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p>
    <w:p>
      <w:pPr>
        <w:spacing w:line="500" w:lineRule="exact"/>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以联合体形</w:t>
      </w:r>
      <w:r>
        <w:rPr>
          <w:rFonts w:ascii="宋体" w:hAnsi="宋体"/>
          <w:sz w:val="24"/>
        </w:rPr>
        <w:t xml:space="preserve">式参加</w:t>
      </w:r>
      <w:r>
        <w:rPr>
          <w:rFonts w:ascii="宋体" w:hAnsi="宋体"/>
          <w:sz w:val="24"/>
        </w:rPr>
        <w:t xml:space="preserve">政府采购活动，联合体各方均为中小企业的，联合体视同中小企业。其中，联合体各方均为小</w:t>
      </w:r>
      <w:r>
        <w:rPr>
          <w:rFonts w:ascii="宋体" w:hAnsi="宋体"/>
          <w:sz w:val="24"/>
        </w:rPr>
        <w:t xml:space="preserve">微企业</w:t>
      </w:r>
      <w:r>
        <w:rPr>
          <w:rFonts w:ascii="宋体" w:hAnsi="宋体"/>
          <w:sz w:val="24"/>
        </w:rPr>
        <w:t xml:space="preserve">的，联合体视同小微企业。</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tabs>
          <w:tab w:val="left" w:pos="1980" w:leader="none"/>
        </w:tabs>
        <w:rPr>
          <w:rFonts w:hint="eastAsia"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（6）</w:t>
      </w:r>
      <w:r>
        <w:rPr>
          <w:rFonts w:ascii="宋体" w:hAnsi="宋体"/>
          <w:sz w:val="24"/>
        </w:rPr>
        <w:t xml:space="preserve">前款所称残疾人是指法</w:t>
      </w:r>
      <w:r>
        <w:rPr>
          <w:rFonts w:ascii="宋体" w:hAnsi="宋体"/>
          <w:sz w:val="24"/>
        </w:rPr>
        <w:t xml:space="preserve">定劳动</w:t>
      </w:r>
      <w:r>
        <w:rPr>
          <w:rFonts w:ascii="宋体" w:hAnsi="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500" w:lineRule="exact"/>
        <w:tabs>
          <w:tab w:val="left" w:pos="1980" w:leader="none"/>
        </w:tabs>
        <w:rPr>
          <w:rFonts w:hint="eastAsia" w:ascii="宋体" w:hAnsi="宋体"/>
          <w:sz w:val="24"/>
        </w:rPr>
      </w:pPr>
      <w:r>
        <w:rPr>
          <w:rFonts w:ascii="宋体" w:hAnsi="宋体"/>
          <w:sz w:val="24"/>
        </w:rPr>
        <w:t xml:space="preserve">33.9.5采购标的对应的中小企业划分标准所属行业见《投标人须知资料表》。</w:t>
      </w:r>
      <w:r/>
    </w:p>
    <w:p>
      <w:pPr>
        <w:ind w:firstLine="480"/>
        <w:spacing w:line="500" w:lineRule="exact"/>
        <w:tabs>
          <w:tab w:val="left" w:pos="1980" w:leader="none"/>
        </w:tabs>
        <w:rPr>
          <w:rFonts w:hint="eastAsia" w:ascii="宋体" w:hAnsi="宋体"/>
          <w:sz w:val="24"/>
        </w:rPr>
      </w:pPr>
      <w:r>
        <w:rPr>
          <w:rFonts w:ascii="宋体" w:hAnsi="宋体"/>
          <w:sz w:val="24"/>
        </w:rPr>
        <w:t xml:space="preserve">33.9.6小</w:t>
      </w:r>
      <w:r>
        <w:rPr>
          <w:rFonts w:ascii="宋体" w:hAnsi="宋体"/>
          <w:sz w:val="24"/>
        </w:rPr>
        <w:t xml:space="preserve">微企业</w:t>
      </w:r>
      <w:r>
        <w:rPr>
          <w:rFonts w:ascii="宋体" w:hAnsi="宋体"/>
          <w:sz w:val="24"/>
        </w:rPr>
        <w:t xml:space="preserve">价格评审优惠的政策调整：见第四章《</w:t>
      </w:r>
      <w:r>
        <w:rPr>
          <w:rFonts w:hint="eastAsia" w:ascii="宋体" w:hAnsi="宋体"/>
          <w:sz w:val="24"/>
        </w:rPr>
        <w:t xml:space="preserve">评标程序、评标方法和评标标准</w:t>
      </w:r>
      <w:r>
        <w:rPr>
          <w:rFonts w:ascii="宋体" w:hAnsi="宋体"/>
          <w:sz w:val="24"/>
        </w:rPr>
        <w:t xml:space="preserve">》。</w:t>
      </w:r>
      <w:bookmarkEnd w:id="96"/>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219"/>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219"/>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219"/>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219"/>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219"/>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219"/>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43"/>
        <w:ind w:firstLine="602"/>
        <w:rPr>
          <w:rFonts w:hint="eastAsia"/>
          <w:color w:val="auto"/>
        </w:rPr>
      </w:pPr>
      <w:r>
        <w:rPr>
          <w:b/>
          <w:color w:val="auto"/>
          <w:sz w:val="30"/>
          <w:szCs w:val="30"/>
        </w:rPr>
        <w:t xml:space="preserve">一、符合性审查要求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9"/>
        <w:gridCol w:w="4515"/>
        <w:gridCol w:w="1479"/>
      </w:tblGrid>
      <w:tr>
        <w:trPr>
          <w:jc w:val="center"/>
          <w:trHeight w:val="300"/>
        </w:trPr>
        <w:tc>
          <w:tcPr>
            <w:tcW w:w="469" w:type="pct"/>
            <w:vAlign w:val="center"/>
            <w:textDirection w:val="lrTb"/>
            <w:noWrap w:val="false"/>
          </w:tcPr>
          <w:p>
            <w:pPr>
              <w:jc w:val="center"/>
              <w:widowControl/>
              <w:rPr>
                <w:b/>
                <w:sz w:val="24"/>
              </w:rPr>
            </w:pPr>
            <w:r>
              <w:rPr>
                <w:b/>
                <w:sz w:val="24"/>
              </w:rPr>
              <w:t xml:space="preserve">序号</w:t>
            </w:r>
            <w:r/>
          </w:p>
        </w:tc>
        <w:tc>
          <w:tcPr>
            <w:tcW w:w="921" w:type="pct"/>
            <w:vAlign w:val="center"/>
            <w:textDirection w:val="lrTb"/>
            <w:noWrap w:val="false"/>
          </w:tcPr>
          <w:p>
            <w:pPr>
              <w:jc w:val="center"/>
              <w:widowControl/>
              <w:rPr>
                <w:b/>
                <w:sz w:val="24"/>
              </w:rPr>
            </w:pPr>
            <w:r>
              <w:rPr>
                <w:b/>
                <w:sz w:val="24"/>
              </w:rPr>
              <w:t xml:space="preserve">审查因素</w:t>
            </w:r>
            <w:r/>
          </w:p>
        </w:tc>
        <w:tc>
          <w:tcPr>
            <w:tcW w:w="2719" w:type="pct"/>
            <w:vAlign w:val="center"/>
            <w:textDirection w:val="lrTb"/>
            <w:noWrap w:val="false"/>
          </w:tcPr>
          <w:p>
            <w:pPr>
              <w:jc w:val="center"/>
              <w:widowControl/>
              <w:rPr>
                <w:b/>
                <w:sz w:val="24"/>
              </w:rPr>
            </w:pPr>
            <w:r>
              <w:rPr>
                <w:b/>
                <w:sz w:val="24"/>
              </w:rPr>
              <w:t xml:space="preserve">审查内容</w:t>
            </w:r>
            <w:r/>
          </w:p>
        </w:tc>
        <w:tc>
          <w:tcPr>
            <w:tcW w:w="891"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69" w:type="pct"/>
            <w:vAlign w:val="center"/>
            <w:textDirection w:val="lrTb"/>
            <w:noWrap w:val="false"/>
          </w:tcPr>
          <w:p>
            <w:pPr>
              <w:jc w:val="center"/>
              <w:widowControl/>
              <w:rPr>
                <w:sz w:val="24"/>
              </w:rPr>
            </w:pPr>
            <w:r>
              <w:rPr>
                <w:sz w:val="24"/>
              </w:rPr>
              <w:t xml:space="preserve">1</w:t>
            </w:r>
            <w:r/>
          </w:p>
        </w:tc>
        <w:tc>
          <w:tcPr>
            <w:tcW w:w="921" w:type="pct"/>
            <w:vAlign w:val="center"/>
            <w:textDirection w:val="lrTb"/>
            <w:noWrap w:val="false"/>
          </w:tcPr>
          <w:p>
            <w:pPr>
              <w:jc w:val="left"/>
              <w:widowControl/>
              <w:rPr>
                <w:sz w:val="24"/>
              </w:rPr>
            </w:pPr>
            <w:r>
              <w:rPr>
                <w:rFonts w:hint="eastAsia"/>
                <w:sz w:val="24"/>
              </w:rPr>
              <w:t xml:space="preserve">投标函</w:t>
            </w:r>
            <w:r/>
          </w:p>
        </w:tc>
        <w:tc>
          <w:tcPr>
            <w:tcW w:w="2719"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891"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69" w:type="pct"/>
            <w:vAlign w:val="center"/>
            <w:textDirection w:val="lrTb"/>
            <w:noWrap w:val="false"/>
          </w:tcPr>
          <w:p>
            <w:pPr>
              <w:jc w:val="center"/>
              <w:widowControl/>
              <w:rPr>
                <w:sz w:val="24"/>
              </w:rPr>
            </w:pPr>
            <w:r>
              <w:rPr>
                <w:sz w:val="24"/>
              </w:rPr>
              <w:t xml:space="preserve">2</w:t>
            </w:r>
            <w:r/>
          </w:p>
        </w:tc>
        <w:tc>
          <w:tcPr>
            <w:tcW w:w="921" w:type="pct"/>
            <w:vAlign w:val="center"/>
            <w:textDirection w:val="lrTb"/>
            <w:noWrap w:val="false"/>
          </w:tcPr>
          <w:p>
            <w:pPr>
              <w:jc w:val="left"/>
              <w:widowControl/>
              <w:rPr>
                <w:sz w:val="24"/>
              </w:rPr>
            </w:pPr>
            <w:r>
              <w:rPr>
                <w:sz w:val="24"/>
              </w:rPr>
              <w:t xml:space="preserve">投标完整性</w:t>
            </w:r>
            <w:r/>
          </w:p>
        </w:tc>
        <w:tc>
          <w:tcPr>
            <w:tcW w:w="2719"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891"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69" w:type="pct"/>
            <w:vAlign w:val="center"/>
            <w:textDirection w:val="lrTb"/>
            <w:noWrap w:val="false"/>
          </w:tcPr>
          <w:p>
            <w:pPr>
              <w:jc w:val="center"/>
              <w:widowControl/>
              <w:rPr>
                <w:sz w:val="24"/>
              </w:rPr>
            </w:pPr>
            <w:r>
              <w:rPr>
                <w:sz w:val="24"/>
              </w:rPr>
              <w:t xml:space="preserve">3</w:t>
            </w:r>
            <w:r/>
          </w:p>
        </w:tc>
        <w:tc>
          <w:tcPr>
            <w:tcW w:w="921" w:type="pct"/>
            <w:vAlign w:val="center"/>
            <w:textDirection w:val="lrTb"/>
            <w:noWrap w:val="false"/>
          </w:tcPr>
          <w:p>
            <w:pPr>
              <w:jc w:val="left"/>
              <w:widowControl/>
              <w:rPr>
                <w:sz w:val="24"/>
              </w:rPr>
            </w:pPr>
            <w:r>
              <w:rPr>
                <w:sz w:val="24"/>
              </w:rPr>
              <w:t xml:space="preserve">投标报价</w:t>
            </w:r>
            <w:r/>
          </w:p>
        </w:tc>
        <w:tc>
          <w:tcPr>
            <w:tcW w:w="2719"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4</w:t>
            </w:r>
            <w:r/>
          </w:p>
        </w:tc>
        <w:tc>
          <w:tcPr>
            <w:tcW w:w="921" w:type="pct"/>
            <w:vAlign w:val="center"/>
            <w:textDirection w:val="lrTb"/>
            <w:noWrap w:val="false"/>
          </w:tcPr>
          <w:p>
            <w:pPr>
              <w:jc w:val="left"/>
              <w:widowControl/>
              <w:rPr>
                <w:sz w:val="24"/>
              </w:rPr>
            </w:pPr>
            <w:r>
              <w:rPr>
                <w:sz w:val="24"/>
              </w:rPr>
              <w:t xml:space="preserve">报价唯一性</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5</w:t>
            </w:r>
            <w:r/>
          </w:p>
        </w:tc>
        <w:tc>
          <w:tcPr>
            <w:tcW w:w="921" w:type="pct"/>
            <w:vAlign w:val="center"/>
            <w:textDirection w:val="lrTb"/>
            <w:noWrap w:val="false"/>
          </w:tcPr>
          <w:p>
            <w:pPr>
              <w:jc w:val="left"/>
              <w:widowControl/>
              <w:rPr>
                <w:sz w:val="24"/>
              </w:rPr>
            </w:pPr>
            <w:r>
              <w:rPr>
                <w:sz w:val="24"/>
              </w:rPr>
              <w:t xml:space="preserve">投标有效期</w:t>
            </w:r>
            <w:r/>
          </w:p>
        </w:tc>
        <w:tc>
          <w:tcPr>
            <w:tcW w:w="2719"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6</w:t>
            </w:r>
            <w:r/>
          </w:p>
        </w:tc>
        <w:tc>
          <w:tcPr>
            <w:tcW w:w="921" w:type="pct"/>
            <w:vAlign w:val="center"/>
            <w:textDirection w:val="lrTb"/>
            <w:noWrap w:val="false"/>
          </w:tcPr>
          <w:p>
            <w:pPr>
              <w:jc w:val="left"/>
              <w:widowControl/>
              <w:rPr>
                <w:sz w:val="24"/>
              </w:rPr>
            </w:pPr>
            <w:r>
              <w:rPr>
                <w:sz w:val="24"/>
              </w:rPr>
              <w:t xml:space="preserve">签署、加盖公章</w:t>
            </w:r>
            <w:r/>
          </w:p>
        </w:tc>
        <w:tc>
          <w:tcPr>
            <w:tcW w:w="2719" w:type="pct"/>
            <w:vAlign w:val="center"/>
            <w:textDirection w:val="lrTb"/>
            <w:noWrap w:val="false"/>
          </w:tcPr>
          <w:p>
            <w:pPr>
              <w:jc w:val="left"/>
              <w:widowControl/>
              <w:rPr>
                <w:sz w:val="24"/>
              </w:rPr>
            </w:pPr>
            <w:r>
              <w:rPr>
                <w:sz w:val="24"/>
              </w:rPr>
              <w:t xml:space="preserve">按照招标文件要求签署、加盖公章的；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7</w:t>
            </w:r>
            <w:r/>
          </w:p>
        </w:tc>
        <w:tc>
          <w:tcPr>
            <w:tcW w:w="921" w:type="pct"/>
            <w:vAlign w:val="center"/>
            <w:textDirection w:val="lrTb"/>
            <w:noWrap w:val="false"/>
          </w:tcPr>
          <w:p>
            <w:pPr>
              <w:jc w:val="left"/>
              <w:widowControl/>
              <w:rPr>
                <w:sz w:val="24"/>
              </w:rPr>
            </w:pPr>
            <w:r>
              <w:rPr>
                <w:rFonts w:hint="eastAsia"/>
                <w:sz w:val="24"/>
              </w:rPr>
              <w:t xml:space="preserve">实质性格式</w:t>
            </w:r>
            <w:r/>
          </w:p>
        </w:tc>
        <w:tc>
          <w:tcPr>
            <w:tcW w:w="2719"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8</w:t>
            </w:r>
            <w:r/>
          </w:p>
        </w:tc>
        <w:tc>
          <w:tcPr>
            <w:tcW w:w="921"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719"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9</w:t>
            </w:r>
            <w:r/>
          </w:p>
        </w:tc>
        <w:tc>
          <w:tcPr>
            <w:tcW w:w="921" w:type="pct"/>
            <w:vAlign w:val="center"/>
            <w:textDirection w:val="lrTb"/>
            <w:noWrap w:val="false"/>
          </w:tcPr>
          <w:p>
            <w:pPr>
              <w:jc w:val="left"/>
              <w:widowControl/>
              <w:rPr>
                <w:sz w:val="24"/>
              </w:rPr>
            </w:pPr>
            <w:r>
              <w:rPr>
                <w:sz w:val="24"/>
              </w:rPr>
              <w:t xml:space="preserve">分包承担主体资质（如有）</w:t>
            </w:r>
            <w:r/>
          </w:p>
        </w:tc>
        <w:tc>
          <w:tcPr>
            <w:tcW w:w="2719"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10</w:t>
            </w:r>
            <w:r/>
          </w:p>
        </w:tc>
        <w:tc>
          <w:tcPr>
            <w:tcW w:w="921" w:type="pct"/>
            <w:vAlign w:val="center"/>
            <w:textDirection w:val="lrTb"/>
            <w:noWrap w:val="false"/>
          </w:tcPr>
          <w:p>
            <w:pPr>
              <w:jc w:val="left"/>
              <w:widowControl/>
              <w:rPr>
                <w:sz w:val="24"/>
              </w:rPr>
            </w:pPr>
            <w:r>
              <w:rPr>
                <w:sz w:val="24"/>
              </w:rPr>
              <w:t xml:space="preserve">分包意向协议（如有）</w:t>
            </w:r>
            <w:r/>
          </w:p>
        </w:tc>
        <w:tc>
          <w:tcPr>
            <w:tcW w:w="2719"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11</w:t>
            </w:r>
            <w:r/>
          </w:p>
        </w:tc>
        <w:tc>
          <w:tcPr>
            <w:tcW w:w="921" w:type="pct"/>
            <w:vAlign w:val="center"/>
            <w:textDirection w:val="lrTb"/>
            <w:noWrap w:val="false"/>
          </w:tcPr>
          <w:p>
            <w:pPr>
              <w:jc w:val="left"/>
              <w:widowControl/>
              <w:rPr>
                <w:sz w:val="24"/>
              </w:rPr>
            </w:pPr>
            <w:r>
              <w:rPr>
                <w:sz w:val="24"/>
              </w:rPr>
              <w:t xml:space="preserve">报价的修正（如有）</w:t>
            </w:r>
            <w:r/>
          </w:p>
        </w:tc>
        <w:tc>
          <w:tcPr>
            <w:tcW w:w="2719"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12</w:t>
            </w:r>
            <w:r/>
          </w:p>
        </w:tc>
        <w:tc>
          <w:tcPr>
            <w:tcW w:w="921" w:type="pct"/>
            <w:vAlign w:val="center"/>
            <w:textDirection w:val="lrTb"/>
            <w:noWrap w:val="false"/>
          </w:tcPr>
          <w:p>
            <w:pPr>
              <w:jc w:val="left"/>
              <w:widowControl/>
              <w:rPr>
                <w:sz w:val="24"/>
              </w:rPr>
            </w:pPr>
            <w:r>
              <w:rPr>
                <w:sz w:val="24"/>
              </w:rPr>
              <w:t xml:space="preserve">报价合理性</w:t>
            </w:r>
            <w:r/>
          </w:p>
        </w:tc>
        <w:tc>
          <w:tcPr>
            <w:tcW w:w="2719" w:type="pct"/>
            <w:vAlign w:val="center"/>
            <w:textDirection w:val="lrTb"/>
            <w:noWrap w:val="false"/>
          </w:tcPr>
          <w:p>
            <w:pPr>
              <w:ind w:firstLine="480"/>
              <w:jc w:val="left"/>
              <w:widowControl/>
              <w:rPr>
                <w:sz w:val="24"/>
              </w:rPr>
            </w:pPr>
            <w:r>
              <w:rPr>
                <w:rFonts w:hint="eastAsia"/>
                <w:sz w:val="24"/>
              </w:rPr>
              <w:t xml:space="preserve">根据江苏省财政厅《关于推动解决政府采购异常低价问题相关工作的通知》</w:t>
            </w:r>
            <w:r>
              <w:rPr>
                <w:rFonts w:hint="eastAsia"/>
                <w:sz w:val="24"/>
              </w:rPr>
              <w:t xml:space="preserve">苏财购【</w:t>
            </w:r>
            <w:r>
              <w:rPr>
                <w:rFonts w:hint="eastAsia"/>
                <w:sz w:val="24"/>
              </w:rPr>
              <w:t xml:space="preserve">2025</w:t>
            </w:r>
            <w:r>
              <w:rPr>
                <w:rFonts w:hint="eastAsia"/>
                <w:sz w:val="24"/>
              </w:rPr>
              <w:t xml:space="preserve">】</w:t>
            </w:r>
            <w:r>
              <w:rPr>
                <w:rFonts w:hint="eastAsia"/>
                <w:sz w:val="24"/>
              </w:rPr>
              <w:t xml:space="preserve">62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、投标（响应）报价低于采购项目预算</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采购项目预算×</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、投标（响应）报价低于采购项目最高限价</w:t>
            </w:r>
            <w:r>
              <w:rPr>
                <w:rFonts w:hint="eastAsia"/>
                <w:sz w:val="24"/>
              </w:rPr>
              <w:t xml:space="preserve">45%</w:t>
            </w:r>
            <w:r>
              <w:rPr>
                <w:rFonts w:hint="eastAsia"/>
                <w:sz w:val="24"/>
              </w:rPr>
              <w:t xml:space="preserve">的，即投</w:t>
            </w:r>
            <w:r>
              <w:rPr>
                <w:rFonts w:hint="eastAsia"/>
                <w:sz w:val="24"/>
              </w:rPr>
              <w:t xml:space="preserve"> </w:t>
            </w:r>
            <w:r>
              <w:rPr>
                <w:rFonts w:hint="eastAsia"/>
                <w:sz w:val="24"/>
              </w:rPr>
              <w:t xml:space="preserve">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、评审委员会认定的供应商报价过低、有可能影响产品质</w:t>
            </w:r>
            <w:r>
              <w:rPr>
                <w:rFonts w:hint="eastAsia"/>
                <w:sz w:val="24"/>
              </w:rPr>
              <w:t xml:space="preserve"> </w:t>
            </w:r>
            <w:r>
              <w:rPr>
                <w:rFonts w:hint="eastAsia"/>
                <w:sz w:val="24"/>
              </w:rPr>
              <w:t xml:space="preserve">量或者不能诚信履约的其他情形。</w:t>
            </w:r>
            <w:r/>
          </w:p>
          <w:p>
            <w:pPr>
              <w:jc w:val="left"/>
              <w:widowControl/>
              <w:rPr>
                <w:sz w:val="24"/>
              </w:rPr>
            </w:pPr>
            <w:r>
              <w:rPr>
                <w:rFonts w:hint="eastAsia"/>
                <w:sz w:val="24"/>
              </w:rPr>
              <w:t xml:space="preserve">启动异常低价投标（响应）审查后，评审委员会应当</w:t>
            </w:r>
            <w:r>
              <w:rPr>
                <w:rFonts w:hint="eastAsia"/>
                <w:sz w:val="24"/>
              </w:rPr>
              <w:t xml:space="preserve"> </w:t>
            </w:r>
            <w:r>
              <w:rPr>
                <w:rFonts w:hint="eastAsia"/>
                <w:sz w:val="24"/>
              </w:rPr>
              <w:t xml:space="preserve">要求相关供应商在评标现场合理的时间内，提供项目具体成本测</w:t>
            </w:r>
            <w:r>
              <w:rPr>
                <w:rFonts w:hint="eastAsia"/>
                <w:sz w:val="24"/>
              </w:rPr>
              <w:t xml:space="preserve"> </w:t>
            </w:r>
            <w:r>
              <w:rPr>
                <w:rFonts w:hint="eastAsia"/>
                <w:sz w:val="24"/>
              </w:rPr>
              <w:t xml:space="preserve">算等与报价合理性相关的书面说明及相关证明材料，对投标（响</w:t>
            </w:r>
            <w:r>
              <w:rPr>
                <w:rFonts w:hint="eastAsia"/>
                <w:sz w:val="24"/>
              </w:rPr>
              <w:t xml:space="preserve"> </w:t>
            </w:r>
            <w:r>
              <w:rPr>
                <w:rFonts w:hint="eastAsia"/>
                <w:sz w:val="24"/>
              </w:rPr>
              <w:t xml:space="preserve">应）价格</w:t>
            </w:r>
            <w:r>
              <w:rPr>
                <w:rFonts w:hint="eastAsia"/>
                <w:sz w:val="24"/>
              </w:rPr>
              <w:t xml:space="preserve">作出</w:t>
            </w:r>
            <w:r>
              <w:rPr>
                <w:rFonts w:hint="eastAsia"/>
                <w:sz w:val="24"/>
              </w:rPr>
              <w:t xml:space="preserve">解释，由评审委员会结合同类产品在主要电商平台的价格、该行业当地薪资水平等情况，依据专业经验对供应商报</w:t>
            </w:r>
            <w:r>
              <w:rPr>
                <w:rFonts w:hint="eastAsia"/>
                <w:sz w:val="24"/>
              </w:rPr>
              <w:t xml:space="preserve"> </w:t>
            </w:r>
            <w:r>
              <w:rPr>
                <w:rFonts w:hint="eastAsia"/>
                <w:sz w:val="24"/>
              </w:rPr>
              <w:t xml:space="preserve">价合理性进行判断。投标（响应）供应商不提供书面说明、证明</w:t>
            </w:r>
            <w:r>
              <w:rPr>
                <w:rFonts w:hint="eastAsia"/>
                <w:sz w:val="24"/>
              </w:rPr>
              <w:t xml:space="preserve"> </w:t>
            </w:r>
            <w:r>
              <w:rPr>
                <w:rFonts w:hint="eastAsia"/>
                <w:sz w:val="24"/>
              </w:rPr>
              <w:t xml:space="preserve">材料，或者提供的书面说明、证明材料不能证明其报价合理性的，</w:t>
            </w:r>
            <w:r>
              <w:rPr>
                <w:rFonts w:hint="eastAsia"/>
                <w:sz w:val="24"/>
              </w:rPr>
              <w:t xml:space="preserve"> </w:t>
            </w:r>
            <w:r>
              <w:rPr>
                <w:rFonts w:hint="eastAsia"/>
                <w:sz w:val="24"/>
              </w:rPr>
              <w:t xml:space="preserve">评审委员会应当将其作为无效投标（响应）处理。审查相关情况</w:t>
            </w:r>
            <w:r>
              <w:rPr>
                <w:rFonts w:hint="eastAsia"/>
                <w:sz w:val="24"/>
              </w:rPr>
              <w:t xml:space="preserve"> </w:t>
            </w:r>
            <w:r>
              <w:rPr>
                <w:rFonts w:hint="eastAsia"/>
                <w:sz w:val="24"/>
              </w:rPr>
              <w:t xml:space="preserve">应当在评审报告中进行记录。</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13</w:t>
            </w:r>
            <w:r/>
          </w:p>
        </w:tc>
        <w:tc>
          <w:tcPr>
            <w:tcW w:w="921"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719"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891"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14</w:t>
            </w:r>
            <w:r/>
          </w:p>
        </w:tc>
        <w:tc>
          <w:tcPr>
            <w:tcW w:w="921"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719"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15</w:t>
            </w:r>
            <w:r/>
          </w:p>
        </w:tc>
        <w:tc>
          <w:tcPr>
            <w:tcW w:w="921" w:type="pct"/>
            <w:vAlign w:val="center"/>
            <w:textDirection w:val="lrTb"/>
            <w:noWrap w:val="false"/>
          </w:tcPr>
          <w:p>
            <w:pPr>
              <w:jc w:val="left"/>
              <w:widowControl/>
              <w:rPr>
                <w:sz w:val="24"/>
              </w:rPr>
            </w:pPr>
            <w:r>
              <w:rPr>
                <w:sz w:val="24"/>
              </w:rPr>
              <w:t xml:space="preserve">公平竞争</w:t>
            </w:r>
            <w:r/>
          </w:p>
        </w:tc>
        <w:tc>
          <w:tcPr>
            <w:tcW w:w="2719" w:type="pct"/>
            <w:vAlign w:val="center"/>
            <w:textDirection w:val="lrTb"/>
            <w:noWrap w:val="false"/>
          </w:tcPr>
          <w:p>
            <w:pPr>
              <w:jc w:val="left"/>
              <w:widowControl/>
              <w:rPr>
                <w:sz w:val="24"/>
              </w:rPr>
            </w:pPr>
            <w:r>
              <w:rPr>
                <w:sz w:val="24"/>
              </w:rPr>
              <w:t xml:space="preserve">投标人遵循公平竞争的原则，不存在恶意串通，妨碍其他投标人的竞争行为，</w:t>
            </w:r>
            <w:r>
              <w:rPr>
                <w:sz w:val="24"/>
              </w:rPr>
              <w:t xml:space="preserve">不存在损害采购人或者其他投标人的合法权益情形的；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16</w:t>
            </w:r>
            <w:r/>
          </w:p>
        </w:tc>
        <w:tc>
          <w:tcPr>
            <w:tcW w:w="921" w:type="pct"/>
            <w:vAlign w:val="center"/>
            <w:textDirection w:val="lrTb"/>
            <w:noWrap w:val="false"/>
          </w:tcPr>
          <w:p>
            <w:pPr>
              <w:jc w:val="left"/>
              <w:widowControl/>
              <w:rPr>
                <w:sz w:val="24"/>
              </w:rPr>
            </w:pPr>
            <w:r>
              <w:rPr>
                <w:sz w:val="24"/>
              </w:rPr>
              <w:t xml:space="preserve">串通投标</w:t>
            </w:r>
            <w:r/>
          </w:p>
        </w:tc>
        <w:tc>
          <w:tcPr>
            <w:tcW w:w="2719"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17</w:t>
            </w:r>
            <w:r/>
          </w:p>
        </w:tc>
        <w:tc>
          <w:tcPr>
            <w:tcW w:w="921" w:type="pct"/>
            <w:vAlign w:val="center"/>
            <w:textDirection w:val="lrTb"/>
            <w:noWrap w:val="false"/>
          </w:tcPr>
          <w:p>
            <w:pPr>
              <w:jc w:val="left"/>
              <w:widowControl/>
              <w:rPr>
                <w:sz w:val="24"/>
              </w:rPr>
            </w:pPr>
            <w:r>
              <w:rPr>
                <w:sz w:val="24"/>
              </w:rPr>
              <w:t xml:space="preserve">附加条件</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21" w:type="pct"/>
            <w:vAlign w:val="center"/>
            <w:textDirection w:val="lrTb"/>
            <w:noWrap w:val="false"/>
          </w:tcPr>
          <w:p>
            <w:pPr>
              <w:jc w:val="left"/>
              <w:widowControl/>
              <w:rPr>
                <w:sz w:val="24"/>
              </w:rPr>
            </w:pPr>
            <w:r>
              <w:rPr>
                <w:sz w:val="24"/>
              </w:rPr>
              <w:t xml:space="preserve">其他无效情形</w:t>
            </w:r>
            <w:r/>
          </w:p>
        </w:tc>
        <w:tc>
          <w:tcPr>
            <w:tcW w:w="2719"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891" w:type="pct"/>
            <w:vAlign w:val="center"/>
            <w:textDirection w:val="lrTb"/>
            <w:noWrap w:val="false"/>
          </w:tcPr>
          <w:p>
            <w:pPr>
              <w:jc w:val="left"/>
              <w:widowControl/>
              <w:rPr>
                <w:sz w:val="24"/>
              </w:rPr>
            </w:pPr>
            <w:r>
              <w:rPr>
                <w:sz w:val="24"/>
              </w:rPr>
            </w:r>
            <w:r/>
          </w:p>
        </w:tc>
      </w:tr>
    </w:tbl>
    <w:p>
      <w:pPr>
        <w:pStyle w:val="1219"/>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pStyle w:val="1219"/>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219"/>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219"/>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43"/>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w:t>
      </w:r>
      <w:r>
        <w:rPr>
          <w:rFonts w:hint="eastAsia" w:ascii="宋体" w:hAnsi="宋体"/>
          <w:sz w:val="24"/>
        </w:rPr>
        <w:t xml:space="preserve">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w:t>
      </w:r>
      <w:r>
        <w:rPr>
          <w:rFonts w:hint="eastAsia" w:ascii="宋体" w:hAnsi="宋体"/>
          <w:sz w:val="24"/>
        </w:rPr>
        <w:t xml:space="preserve">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bookmarkEnd w:id="288"/>
      <w:r/>
      <w:bookmarkEnd w:id="289"/>
      <w:r/>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065"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045"/>
        <w:gridCol w:w="2268"/>
      </w:tblGrid>
      <w:tr>
        <w:trPr>
          <w:trHeight w:val="351"/>
        </w:trPr>
        <w:tc>
          <w:tcPr>
            <w:tcW w:w="709"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72"/>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分值</w:t>
            </w:r>
            <w:r/>
          </w:p>
        </w:tc>
        <w:tc>
          <w:tcPr>
            <w:tcW w:w="5045"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评分标准</w:t>
            </w:r>
            <w:r/>
          </w:p>
        </w:tc>
        <w:tc>
          <w:tcPr>
            <w:tcW w:w="2268" w:type="dxa"/>
            <w:vAlign w:val="center"/>
            <w:textDirection w:val="lrTb"/>
            <w:noWrap w:val="false"/>
          </w:tcPr>
          <w:p>
            <w:pPr>
              <w:jc w:val="center"/>
              <w:widowControl/>
              <w:rPr>
                <w:rFonts w:hint="eastAsia" w:ascii="宋体" w:hAnsi="宋体" w:cs="宋体"/>
                <w:szCs w:val="21"/>
              </w:rPr>
            </w:pPr>
            <w:r>
              <w:rPr>
                <w:rStyle w:val="1272"/>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价格分</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3</w:t>
            </w:r>
            <w:r>
              <w:rPr>
                <w:rStyle w:val="1272"/>
                <w:rFonts w:hint="default"/>
                <w:color w:val="auto"/>
                <w:sz w:val="21"/>
                <w:szCs w:val="21"/>
              </w:rPr>
              <w:t xml:space="preserve">0</w:t>
            </w:r>
            <w:r/>
          </w:p>
        </w:tc>
        <w:tc>
          <w:tcPr>
            <w:tcW w:w="5045"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满足采购文件要求且最低的报价为评标基准价，其价格分为满分。其他供应商的价格</w:t>
            </w:r>
            <w:r>
              <w:rPr>
                <w:rStyle w:val="1272"/>
                <w:rFonts w:hint="default"/>
                <w:color w:val="auto"/>
                <w:sz w:val="21"/>
                <w:szCs w:val="21"/>
                <w:lang w:bidi="ar"/>
              </w:rPr>
              <w:t xml:space="preserve">分统一</w:t>
            </w:r>
            <w:r>
              <w:rPr>
                <w:rStyle w:val="1272"/>
                <w:rFonts w:hint="default"/>
                <w:color w:val="auto"/>
                <w:sz w:val="21"/>
                <w:szCs w:val="21"/>
                <w:lang w:bidi="ar"/>
              </w:rPr>
              <w:t xml:space="preserve">按照下列公式计算：</w:t>
            </w:r>
            <w:r>
              <w:rPr>
                <w:rStyle w:val="1272"/>
                <w:rFonts w:hint="default"/>
                <w:color w:val="auto"/>
                <w:sz w:val="21"/>
                <w:szCs w:val="21"/>
              </w:rPr>
              <w:t xml:space="preserve">投标报价得分=(评标基准价／投标报价)×</w:t>
            </w:r>
            <w:r>
              <w:rPr>
                <w:rStyle w:val="1272"/>
                <w:rFonts w:hint="default"/>
                <w:color w:val="auto"/>
                <w:sz w:val="21"/>
                <w:szCs w:val="21"/>
              </w:rPr>
              <w:t xml:space="preserve">价格权</w:t>
            </w:r>
            <w:r>
              <w:rPr>
                <w:rStyle w:val="1272"/>
                <w:rFonts w:hint="default"/>
                <w:color w:val="auto"/>
                <w:sz w:val="21"/>
                <w:szCs w:val="21"/>
              </w:rPr>
              <w:t xml:space="preserve">值×100。</w:t>
            </w:r>
            <w:r/>
          </w:p>
        </w:tc>
        <w:tc>
          <w:tcPr>
            <w:tcW w:w="2268" w:type="dxa"/>
            <w:vAlign w:val="center"/>
            <w:textDirection w:val="lrTb"/>
            <w:noWrap w:val="false"/>
          </w:tcPr>
          <w:p>
            <w:pPr>
              <w:widowControl/>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主观分</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2</w:t>
            </w:r>
            <w:r>
              <w:rPr>
                <w:rStyle w:val="1272"/>
                <w:rFonts w:hint="default"/>
                <w:color w:val="auto"/>
                <w:sz w:val="21"/>
                <w:szCs w:val="21"/>
              </w:rPr>
              <w:t xml:space="preserve">0</w:t>
            </w:r>
            <w:r/>
          </w:p>
        </w:tc>
        <w:tc>
          <w:tcPr>
            <w:tcW w:w="5045"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72"/>
                <w:rFonts w:hint="default"/>
                <w:color w:val="auto"/>
                <w:sz w:val="21"/>
                <w:szCs w:val="21"/>
              </w:rPr>
            </w:pPr>
            <w:r>
              <w:rPr>
                <w:rStyle w:val="1272"/>
                <w:rFonts w:hint="default"/>
                <w:color w:val="auto"/>
                <w:sz w:val="21"/>
                <w:szCs w:val="21"/>
                <w:lang w:bidi="ar"/>
              </w:rPr>
              <w:t xml:space="preserve">5</w:t>
            </w:r>
            <w:r/>
          </w:p>
        </w:tc>
        <w:tc>
          <w:tcPr>
            <w:tcW w:w="5045" w:type="dxa"/>
            <w:vAlign w:val="center"/>
            <w:textDirection w:val="lrTb"/>
            <w:noWrap w:val="false"/>
          </w:tcPr>
          <w:p>
            <w:pPr>
              <w:rPr>
                <w:rStyle w:val="1272"/>
                <w:rFonts w:hint="default"/>
                <w:color w:val="auto"/>
                <w:sz w:val="21"/>
                <w:szCs w:val="21"/>
                <w:lang w:bidi="ar"/>
              </w:rPr>
            </w:pPr>
            <w:r>
              <w:rPr>
                <w:rStyle w:val="1272"/>
                <w:rFonts w:hint="default"/>
                <w:color w:val="auto"/>
                <w:sz w:val="21"/>
                <w:szCs w:val="21"/>
                <w:lang w:bidi="ar"/>
              </w:rPr>
              <w:t xml:space="preserve">投标</w:t>
            </w:r>
            <w:r>
              <w:rPr>
                <w:rStyle w:val="1272"/>
                <w:rFonts w:hint="default"/>
                <w:color w:val="auto"/>
                <w:sz w:val="21"/>
                <w:szCs w:val="21"/>
                <w:lang w:bidi="ar"/>
              </w:rPr>
              <w:t xml:space="preserve">人</w:t>
            </w:r>
            <w:r>
              <w:rPr>
                <w:rStyle w:val="1272"/>
                <w:rFonts w:hint="default"/>
                <w:color w:val="auto"/>
                <w:sz w:val="21"/>
                <w:szCs w:val="21"/>
                <w:lang w:bidi="ar"/>
              </w:rPr>
              <w:t xml:space="preserve">针对本项目特点</w:t>
            </w:r>
            <w:r>
              <w:rPr>
                <w:rStyle w:val="1272"/>
                <w:rFonts w:hint="default"/>
                <w:color w:val="auto"/>
                <w:sz w:val="21"/>
                <w:szCs w:val="21"/>
                <w:lang w:bidi="ar"/>
              </w:rPr>
              <w:t xml:space="preserve">包括不限于总体概述、安装调试方案：措施方案完整、可行，能完全满足项目实施要求，得</w:t>
            </w:r>
            <w:r>
              <w:rPr>
                <w:rStyle w:val="1272"/>
                <w:rFonts w:hint="default"/>
                <w:color w:val="auto"/>
                <w:sz w:val="21"/>
                <w:szCs w:val="21"/>
                <w:lang w:bidi="ar"/>
              </w:rPr>
              <w:t xml:space="preserve">5</w:t>
            </w:r>
            <w:r>
              <w:rPr>
                <w:rStyle w:val="1272"/>
                <w:rFonts w:hint="default"/>
                <w:color w:val="auto"/>
                <w:sz w:val="21"/>
                <w:szCs w:val="21"/>
                <w:lang w:bidi="ar"/>
              </w:rPr>
              <w:t xml:space="preserve">分；措施方案较具体、可行，能基本满足项目实施要求，得</w:t>
            </w:r>
            <w:r>
              <w:rPr>
                <w:rStyle w:val="1272"/>
                <w:rFonts w:hint="default"/>
                <w:color w:val="auto"/>
                <w:sz w:val="21"/>
                <w:szCs w:val="21"/>
                <w:lang w:bidi="ar"/>
              </w:rPr>
              <w:t xml:space="preserve">3</w:t>
            </w:r>
            <w:r>
              <w:rPr>
                <w:rStyle w:val="1272"/>
                <w:rFonts w:hint="default"/>
                <w:color w:val="auto"/>
                <w:sz w:val="21"/>
                <w:szCs w:val="21"/>
                <w:lang w:bidi="ar"/>
              </w:rPr>
              <w:t xml:space="preserve">分；措施方案内容较简单，对项目实施要求响应一般，得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w:t>
            </w:r>
            <w:r>
              <w:rPr>
                <w:rFonts w:ascii="宋体" w:hAnsi="宋体"/>
                <w:szCs w:val="21"/>
              </w:rPr>
              <w:t xml:space="preserve">2</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72"/>
                <w:rFonts w:hint="default"/>
                <w:color w:val="auto"/>
                <w:sz w:val="21"/>
                <w:szCs w:val="21"/>
              </w:rPr>
            </w:pPr>
            <w:r>
              <w:rPr>
                <w:rStyle w:val="1272"/>
                <w:rFonts w:hint="default"/>
                <w:color w:val="auto"/>
                <w:sz w:val="21"/>
                <w:szCs w:val="21"/>
                <w:lang w:bidi="ar"/>
              </w:rPr>
              <w:t xml:space="preserve">5</w:t>
            </w:r>
            <w:r/>
          </w:p>
        </w:tc>
        <w:tc>
          <w:tcPr>
            <w:tcW w:w="5045" w:type="dxa"/>
            <w:vAlign w:val="center"/>
            <w:textDirection w:val="lrTb"/>
            <w:noWrap w:val="false"/>
          </w:tcPr>
          <w:p>
            <w:pPr>
              <w:rPr>
                <w:rStyle w:val="1272"/>
                <w:rFonts w:hint="default"/>
                <w:color w:val="auto"/>
                <w:sz w:val="21"/>
                <w:szCs w:val="21"/>
                <w:lang w:bidi="ar"/>
              </w:rPr>
            </w:pPr>
            <w:r>
              <w:rPr>
                <w:rStyle w:val="1272"/>
                <w:rFonts w:hint="default"/>
                <w:color w:val="auto"/>
                <w:sz w:val="21"/>
                <w:szCs w:val="21"/>
                <w:lang w:bidi="ar"/>
              </w:rPr>
              <w:t xml:space="preserve">投标</w:t>
            </w:r>
            <w:r>
              <w:rPr>
                <w:rStyle w:val="1272"/>
                <w:rFonts w:hint="default"/>
                <w:color w:val="auto"/>
                <w:sz w:val="21"/>
                <w:szCs w:val="21"/>
                <w:lang w:bidi="ar"/>
              </w:rPr>
              <w:t xml:space="preserve">人针对本项目特点</w:t>
            </w:r>
            <w:r>
              <w:rPr>
                <w:rStyle w:val="1272"/>
                <w:rFonts w:hint="default"/>
                <w:color w:val="auto"/>
                <w:sz w:val="21"/>
                <w:szCs w:val="21"/>
                <w:lang w:bidi="ar"/>
              </w:rPr>
              <w:t xml:space="preserve">提供质量保障方案，有明确的质量控制目标和质量保障措施。根据方案的完整性、可靠性、合理性进行综合评分，方案完整、可靠、合理的，得</w:t>
            </w:r>
            <w:r>
              <w:rPr>
                <w:rStyle w:val="1272"/>
                <w:rFonts w:hint="default"/>
                <w:color w:val="auto"/>
                <w:sz w:val="21"/>
                <w:szCs w:val="21"/>
                <w:lang w:bidi="ar"/>
              </w:rPr>
              <w:t xml:space="preserve">5</w:t>
            </w:r>
            <w:r>
              <w:rPr>
                <w:rStyle w:val="1272"/>
                <w:rFonts w:hint="default"/>
                <w:color w:val="auto"/>
                <w:sz w:val="21"/>
                <w:szCs w:val="21"/>
                <w:lang w:bidi="ar"/>
              </w:rPr>
              <w:t xml:space="preserve">分；方案较完整、可靠、合理的，得</w:t>
            </w:r>
            <w:r>
              <w:rPr>
                <w:rStyle w:val="1272"/>
                <w:rFonts w:hint="default"/>
                <w:color w:val="auto"/>
                <w:sz w:val="21"/>
                <w:szCs w:val="21"/>
                <w:lang w:bidi="ar"/>
              </w:rPr>
              <w:t xml:space="preserve">3</w:t>
            </w:r>
            <w:r>
              <w:rPr>
                <w:rStyle w:val="1272"/>
                <w:rFonts w:hint="default"/>
                <w:color w:val="auto"/>
                <w:sz w:val="21"/>
                <w:szCs w:val="21"/>
                <w:lang w:bidi="ar"/>
              </w:rPr>
              <w:t xml:space="preserve">分；方案不太完整、可靠、合理的，得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w:t>
            </w:r>
            <w:r>
              <w:rPr>
                <w:rFonts w:ascii="宋体" w:hAnsi="宋体"/>
                <w:szCs w:val="21"/>
              </w:rPr>
              <w:t xml:space="preserve">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72"/>
                <w:rFonts w:hint="default"/>
                <w:color w:val="auto"/>
                <w:sz w:val="21"/>
                <w:szCs w:val="21"/>
              </w:rPr>
            </w:pPr>
            <w:r>
              <w:rPr>
                <w:rStyle w:val="1272"/>
                <w:rFonts w:hint="default"/>
                <w:color w:val="auto"/>
                <w:sz w:val="21"/>
                <w:szCs w:val="21"/>
                <w:lang w:bidi="ar"/>
              </w:rPr>
              <w:t xml:space="preserve">5</w:t>
            </w:r>
            <w:r/>
          </w:p>
        </w:tc>
        <w:tc>
          <w:tcPr>
            <w:tcW w:w="5045" w:type="dxa"/>
            <w:vAlign w:val="center"/>
            <w:textDirection w:val="lrTb"/>
            <w:noWrap w:val="false"/>
          </w:tcPr>
          <w:p>
            <w:pPr>
              <w:rPr>
                <w:rStyle w:val="1272"/>
                <w:rFonts w:hint="default"/>
                <w:color w:val="auto"/>
                <w:sz w:val="21"/>
                <w:szCs w:val="21"/>
                <w:lang w:bidi="ar"/>
              </w:rPr>
            </w:pPr>
            <w:r>
              <w:rPr>
                <w:rStyle w:val="1272"/>
                <w:rFonts w:hint="default"/>
                <w:color w:val="auto"/>
                <w:sz w:val="21"/>
                <w:szCs w:val="21"/>
                <w:lang w:bidi="ar"/>
              </w:rPr>
              <w:t xml:space="preserve">投标</w:t>
            </w:r>
            <w:r>
              <w:rPr>
                <w:rStyle w:val="1272"/>
                <w:rFonts w:hint="default"/>
                <w:color w:val="auto"/>
                <w:sz w:val="21"/>
                <w:szCs w:val="21"/>
                <w:lang w:bidi="ar"/>
              </w:rPr>
              <w:t xml:space="preserve">人针对本项目特点</w:t>
            </w:r>
            <w:r>
              <w:rPr>
                <w:rStyle w:val="1272"/>
                <w:rFonts w:hint="default"/>
                <w:color w:val="auto"/>
                <w:sz w:val="21"/>
                <w:szCs w:val="21"/>
                <w:lang w:bidi="ar"/>
              </w:rPr>
              <w:t xml:space="preserve">提供的售后响应时间、售后服务方案、专业技术人员保障、及应急处理措施等：方案合理完善，可行性高，内容详实，得</w:t>
            </w:r>
            <w:r>
              <w:rPr>
                <w:rStyle w:val="1272"/>
                <w:rFonts w:hint="default"/>
                <w:color w:val="auto"/>
                <w:sz w:val="21"/>
                <w:szCs w:val="21"/>
                <w:lang w:bidi="ar"/>
              </w:rPr>
              <w:t xml:space="preserve">5</w:t>
            </w:r>
            <w:r>
              <w:rPr>
                <w:rStyle w:val="1272"/>
                <w:rFonts w:hint="default"/>
                <w:color w:val="auto"/>
                <w:sz w:val="21"/>
                <w:szCs w:val="21"/>
                <w:lang w:bidi="ar"/>
              </w:rPr>
              <w:t xml:space="preserve">分；方案较合理完善，可行性较高，内容较详实，得</w:t>
            </w:r>
            <w:r>
              <w:rPr>
                <w:rStyle w:val="1272"/>
                <w:rFonts w:hint="default"/>
                <w:color w:val="auto"/>
                <w:sz w:val="21"/>
                <w:szCs w:val="21"/>
                <w:lang w:bidi="ar"/>
              </w:rPr>
              <w:t xml:space="preserve">3</w:t>
            </w:r>
            <w:r>
              <w:rPr>
                <w:rStyle w:val="1272"/>
                <w:rFonts w:hint="default"/>
                <w:color w:val="auto"/>
                <w:sz w:val="21"/>
                <w:szCs w:val="21"/>
                <w:lang w:bidi="ar"/>
              </w:rPr>
              <w:t xml:space="preserve">分；方案较不合理，可行性</w:t>
            </w:r>
            <w:r>
              <w:rPr>
                <w:rStyle w:val="1272"/>
                <w:rFonts w:hint="default"/>
                <w:color w:val="auto"/>
                <w:sz w:val="21"/>
                <w:szCs w:val="21"/>
                <w:lang w:bidi="ar"/>
              </w:rPr>
              <w:t xml:space="preserve">不高</w:t>
            </w:r>
            <w:r>
              <w:rPr>
                <w:rStyle w:val="1272"/>
                <w:rFonts w:hint="default"/>
                <w:color w:val="auto"/>
                <w:sz w:val="21"/>
                <w:szCs w:val="21"/>
                <w:lang w:bidi="ar"/>
              </w:rPr>
              <w:t xml:space="preserve">，内容简单，得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安全保障措施</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5</w:t>
            </w:r>
            <w:r/>
          </w:p>
        </w:tc>
        <w:tc>
          <w:tcPr>
            <w:tcW w:w="5045" w:type="dxa"/>
            <w:vAlign w:val="center"/>
            <w:textDirection w:val="lrTb"/>
            <w:noWrap w:val="false"/>
          </w:tcPr>
          <w:p>
            <w:pPr>
              <w:pStyle w:val="1043"/>
              <w:rPr>
                <w:rStyle w:val="1272"/>
                <w:rFonts w:hint="default"/>
                <w:color w:val="auto"/>
                <w:sz w:val="21"/>
                <w:szCs w:val="21"/>
                <w:lang w:bidi="ar"/>
              </w:rPr>
            </w:pPr>
            <w:r>
              <w:rPr>
                <w:rStyle w:val="1272"/>
                <w:rFonts w:hint="default"/>
                <w:color w:val="auto"/>
                <w:sz w:val="21"/>
                <w:szCs w:val="21"/>
                <w:lang w:bidi="ar"/>
              </w:rPr>
              <w:t xml:space="preserve">投标人针对本项目特点提供</w:t>
            </w:r>
            <w:r>
              <w:rPr>
                <w:rStyle w:val="1272"/>
                <w:rFonts w:hint="default"/>
                <w:color w:val="auto"/>
                <w:sz w:val="21"/>
                <w:szCs w:val="21"/>
                <w:lang w:bidi="ar"/>
              </w:rPr>
              <w:t xml:space="preserve">有安全制度、安全预案、全员安全培训计划；有安全设施配备及安全检查及记录要求；有意外伤害赔偿措施和风险规避措施；有事故发生后的应对处理办法。</w:t>
            </w:r>
            <w:r/>
          </w:p>
          <w:p>
            <w:pPr>
              <w:rPr>
                <w:rStyle w:val="1272"/>
                <w:rFonts w:hint="default"/>
                <w:color w:val="auto"/>
                <w:sz w:val="21"/>
                <w:szCs w:val="21"/>
                <w:lang w:bidi="ar"/>
              </w:rPr>
            </w:pPr>
            <w:r>
              <w:rPr>
                <w:rStyle w:val="1272"/>
                <w:rFonts w:hint="default"/>
                <w:color w:val="auto"/>
                <w:sz w:val="21"/>
                <w:szCs w:val="21"/>
                <w:lang w:bidi="ar"/>
              </w:rPr>
              <w:t xml:space="preserve">内容整体完善，内容清晰完整，方案可行性强，思</w:t>
            </w:r>
            <w:r>
              <w:rPr>
                <w:rStyle w:val="1272"/>
                <w:rFonts w:hint="default"/>
                <w:color w:val="auto"/>
                <w:sz w:val="21"/>
                <w:szCs w:val="21"/>
                <w:lang w:bidi="ar"/>
              </w:rPr>
              <w:t xml:space="preserve">路清晰，得</w:t>
            </w:r>
            <w:r>
              <w:rPr>
                <w:rStyle w:val="1272"/>
                <w:rFonts w:hint="default"/>
                <w:color w:val="auto"/>
                <w:sz w:val="21"/>
                <w:szCs w:val="21"/>
                <w:lang w:bidi="ar"/>
              </w:rPr>
              <w:t xml:space="preserve">5</w:t>
            </w:r>
            <w:r>
              <w:rPr>
                <w:rStyle w:val="1272"/>
                <w:rFonts w:hint="default"/>
                <w:color w:val="auto"/>
                <w:sz w:val="21"/>
                <w:szCs w:val="21"/>
                <w:lang w:bidi="ar"/>
              </w:rPr>
              <w:t xml:space="preserve">分；内容整体合理，方案可行性较强，思路较清晰，得</w:t>
            </w:r>
            <w:r>
              <w:rPr>
                <w:rStyle w:val="1272"/>
                <w:rFonts w:hint="default"/>
                <w:color w:val="auto"/>
                <w:sz w:val="21"/>
                <w:szCs w:val="21"/>
                <w:lang w:bidi="ar"/>
              </w:rPr>
              <w:t xml:space="preserve">3</w:t>
            </w:r>
            <w:r>
              <w:rPr>
                <w:rStyle w:val="1272"/>
                <w:rFonts w:hint="default"/>
                <w:color w:val="auto"/>
                <w:sz w:val="21"/>
                <w:szCs w:val="21"/>
                <w:lang w:bidi="ar"/>
              </w:rPr>
              <w:t xml:space="preserve">分；内容整体一般，方案具有一定可行性，思路一般，得</w:t>
            </w:r>
            <w:r>
              <w:rPr>
                <w:rStyle w:val="1272"/>
                <w:rFonts w:hint="default"/>
                <w:color w:val="auto"/>
                <w:sz w:val="21"/>
                <w:szCs w:val="21"/>
                <w:lang w:bidi="ar"/>
              </w:rPr>
              <w:t xml:space="preserve">1</w:t>
            </w:r>
            <w:r>
              <w:rPr>
                <w:rStyle w:val="1272"/>
                <w:rFonts w:hint="default"/>
                <w:color w:val="auto"/>
                <w:sz w:val="21"/>
                <w:szCs w:val="21"/>
                <w:lang w:bidi="ar"/>
              </w:rPr>
              <w:t xml:space="preserve">分；未提供不得分。</w:t>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客观分</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50</w:t>
            </w:r>
            <w:r/>
          </w:p>
        </w:tc>
        <w:tc>
          <w:tcPr>
            <w:tcW w:w="5045"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业绩</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9</w:t>
            </w:r>
            <w:r/>
          </w:p>
        </w:tc>
        <w:tc>
          <w:tcPr>
            <w:tcW w:w="5045" w:type="dxa"/>
            <w:vAlign w:val="center"/>
            <w:textDirection w:val="lrTb"/>
            <w:noWrap w:val="false"/>
          </w:tcPr>
          <w:p>
            <w:pPr>
              <w:widowControl/>
              <w:rPr>
                <w:rStyle w:val="1272"/>
                <w:rFonts w:hint="default"/>
                <w:color w:val="000000" w:themeColor="text1"/>
                <w:sz w:val="21"/>
                <w:szCs w:val="21"/>
                <w:lang w:bidi="ar"/>
              </w:rPr>
            </w:pPr>
            <w:r>
              <w:rPr>
                <w:rStyle w:val="1272"/>
                <w:rFonts w:hint="default"/>
                <w:color w:val="000000" w:themeColor="text1"/>
                <w:sz w:val="21"/>
                <w:szCs w:val="21"/>
                <w:lang w:bidi="ar"/>
              </w:rPr>
              <w:t xml:space="preserve">提供自2022年</w:t>
            </w:r>
            <w:r>
              <w:rPr>
                <w:rStyle w:val="1272"/>
                <w:rFonts w:hint="default"/>
                <w:color w:val="000000" w:themeColor="text1"/>
                <w:sz w:val="21"/>
                <w:szCs w:val="21"/>
                <w:lang w:bidi="ar"/>
              </w:rPr>
              <w:t xml:space="preserve">10</w:t>
            </w:r>
            <w:r>
              <w:rPr>
                <w:rStyle w:val="1272"/>
                <w:rFonts w:hint="default"/>
                <w:color w:val="000000" w:themeColor="text1"/>
                <w:sz w:val="21"/>
                <w:szCs w:val="21"/>
                <w:lang w:bidi="ar"/>
              </w:rPr>
              <w:t xml:space="preserve">月1日起，</w:t>
            </w:r>
            <w:r>
              <w:rPr>
                <w:rStyle w:val="1272"/>
                <w:rFonts w:hint="default"/>
                <w:color w:val="000000" w:themeColor="text1"/>
                <w:sz w:val="21"/>
                <w:szCs w:val="21"/>
                <w:lang w:bidi="ar"/>
              </w:rPr>
              <w:t xml:space="preserve">投标人</w:t>
            </w:r>
            <w:r>
              <w:rPr>
                <w:rStyle w:val="1272"/>
                <w:rFonts w:hint="default"/>
                <w:color w:val="000000" w:themeColor="text1"/>
                <w:sz w:val="21"/>
                <w:szCs w:val="21"/>
                <w:lang w:bidi="ar"/>
              </w:rPr>
              <w:t xml:space="preserve">承担过</w:t>
            </w:r>
            <w:r>
              <w:rPr>
                <w:rStyle w:val="1272"/>
                <w:rFonts w:hint="default"/>
                <w:color w:val="000000" w:themeColor="text1"/>
                <w:sz w:val="21"/>
                <w:szCs w:val="21"/>
                <w:lang w:bidi="ar"/>
              </w:rPr>
              <w:t xml:space="preserve">三合一超高分辨</w:t>
            </w:r>
            <w:r>
              <w:rPr>
                <w:rStyle w:val="1272"/>
                <w:rFonts w:hint="default"/>
                <w:color w:val="000000" w:themeColor="text1"/>
                <w:sz w:val="21"/>
                <w:szCs w:val="21"/>
                <w:lang w:bidi="ar"/>
              </w:rPr>
              <w:t xml:space="preserve">液质联用</w:t>
            </w:r>
            <w:r>
              <w:rPr>
                <w:rStyle w:val="1272"/>
                <w:rFonts w:hint="default"/>
                <w:color w:val="000000" w:themeColor="text1"/>
                <w:sz w:val="21"/>
                <w:szCs w:val="21"/>
                <w:lang w:bidi="ar"/>
              </w:rPr>
              <w:t xml:space="preserve">仪</w:t>
            </w:r>
            <w:r>
              <w:rPr>
                <w:rStyle w:val="1272"/>
                <w:rFonts w:hint="default"/>
                <w:color w:val="000000" w:themeColor="text1"/>
                <w:sz w:val="21"/>
                <w:szCs w:val="21"/>
                <w:lang w:bidi="ar"/>
              </w:rPr>
              <w:t xml:space="preserve">供货</w:t>
            </w:r>
            <w:r>
              <w:rPr>
                <w:rStyle w:val="1272"/>
                <w:rFonts w:hint="default"/>
                <w:color w:val="000000" w:themeColor="text1"/>
                <w:sz w:val="21"/>
                <w:szCs w:val="21"/>
                <w:lang w:bidi="ar"/>
              </w:rPr>
              <w:t xml:space="preserve">合同</w:t>
            </w:r>
            <w:r>
              <w:rPr>
                <w:rStyle w:val="1272"/>
                <w:rFonts w:hint="default"/>
                <w:color w:val="000000" w:themeColor="text1"/>
                <w:sz w:val="21"/>
                <w:szCs w:val="21"/>
                <w:lang w:bidi="ar"/>
              </w:rPr>
              <w:t xml:space="preserve">（合同中内容须包含</w:t>
            </w:r>
            <w:r>
              <w:rPr>
                <w:rStyle w:val="1272"/>
                <w:rFonts w:hint="default"/>
                <w:color w:val="000000" w:themeColor="text1"/>
                <w:sz w:val="21"/>
                <w:szCs w:val="21"/>
                <w:lang w:bidi="ar"/>
              </w:rPr>
              <w:t xml:space="preserve">三合一超高分辨</w:t>
            </w:r>
            <w:r>
              <w:rPr>
                <w:rStyle w:val="1272"/>
                <w:rFonts w:hint="default"/>
                <w:color w:val="000000" w:themeColor="text1"/>
                <w:sz w:val="21"/>
                <w:szCs w:val="21"/>
                <w:lang w:bidi="ar"/>
              </w:rPr>
              <w:t xml:space="preserve">液质联用</w:t>
            </w:r>
            <w:r>
              <w:rPr>
                <w:rStyle w:val="1272"/>
                <w:rFonts w:hint="default"/>
                <w:color w:val="000000" w:themeColor="text1"/>
                <w:sz w:val="21"/>
                <w:szCs w:val="21"/>
                <w:lang w:bidi="ar"/>
              </w:rPr>
              <w:t xml:space="preserve">仪</w:t>
            </w:r>
            <w:r>
              <w:rPr>
                <w:rStyle w:val="1272"/>
                <w:rFonts w:hint="default"/>
                <w:color w:val="000000" w:themeColor="text1"/>
                <w:sz w:val="21"/>
                <w:szCs w:val="21"/>
                <w:lang w:bidi="ar"/>
              </w:rPr>
              <w:t xml:space="preserve">产品），有一个得</w:t>
            </w:r>
            <w:r>
              <w:rPr>
                <w:rStyle w:val="1272"/>
                <w:rFonts w:hint="default"/>
                <w:color w:val="000000" w:themeColor="text1"/>
                <w:sz w:val="21"/>
                <w:szCs w:val="21"/>
                <w:lang w:bidi="ar"/>
              </w:rPr>
              <w:t xml:space="preserve">3</w:t>
            </w:r>
            <w:r>
              <w:rPr>
                <w:rStyle w:val="1272"/>
                <w:rFonts w:hint="default"/>
                <w:color w:val="000000" w:themeColor="text1"/>
                <w:sz w:val="21"/>
                <w:szCs w:val="21"/>
                <w:lang w:bidi="ar"/>
              </w:rPr>
              <w:t xml:space="preserve">分，</w:t>
            </w:r>
            <w:r>
              <w:rPr>
                <w:rStyle w:val="1272"/>
                <w:rFonts w:hint="default"/>
                <w:color w:val="000000" w:themeColor="text1"/>
                <w:sz w:val="21"/>
                <w:szCs w:val="21"/>
                <w:lang w:bidi="ar"/>
              </w:rPr>
              <w:t xml:space="preserve">限评3份</w:t>
            </w:r>
            <w:r>
              <w:rPr>
                <w:rStyle w:val="1272"/>
                <w:rFonts w:hint="default"/>
                <w:color w:val="000000" w:themeColor="text1"/>
                <w:sz w:val="21"/>
                <w:szCs w:val="21"/>
                <w:lang w:bidi="ar"/>
              </w:rPr>
              <w:t xml:space="preserve">业绩，本项最高得</w:t>
            </w:r>
            <w:r>
              <w:rPr>
                <w:rStyle w:val="1272"/>
                <w:rFonts w:hint="default"/>
                <w:color w:val="000000" w:themeColor="text1"/>
                <w:sz w:val="21"/>
                <w:szCs w:val="21"/>
                <w:lang w:bidi="ar"/>
              </w:rPr>
              <w:t xml:space="preserve">9</w:t>
            </w:r>
            <w:r>
              <w:rPr>
                <w:rStyle w:val="1272"/>
                <w:rFonts w:hint="default"/>
                <w:color w:val="000000" w:themeColor="text1"/>
                <w:sz w:val="21"/>
                <w:szCs w:val="21"/>
                <w:lang w:bidi="ar"/>
              </w:rPr>
              <w:t xml:space="preserve">分。</w:t>
            </w:r>
            <w:r/>
          </w:p>
          <w:p>
            <w:pPr>
              <w:widowControl/>
              <w:rPr>
                <w:rStyle w:val="1272"/>
                <w:rFonts w:hint="default"/>
                <w:color w:val="000000" w:themeColor="text1"/>
                <w:sz w:val="21"/>
                <w:szCs w:val="21"/>
                <w:lang w:bidi="ar"/>
              </w:rPr>
            </w:pPr>
            <w:r>
              <w:rPr>
                <w:rFonts w:hint="default"/>
                <w:color w:val="000000" w:themeColor="text1"/>
                <w:sz w:val="21"/>
                <w:szCs w:val="21"/>
                <w:lang w:bidi="ar"/>
              </w:rPr>
            </w:r>
            <w:r/>
          </w:p>
        </w:tc>
        <w:tc>
          <w:tcPr>
            <w:tcW w:w="2268"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1、投标人提供业绩的中标通知书、合同。（如合同中无法体现相关内容的，须另提供原采购单位出具的相关证明材料加盖原采购单位公章）。</w:t>
            </w:r>
            <w:r/>
          </w:p>
          <w:p>
            <w:pPr>
              <w:widowControl/>
              <w:rPr>
                <w:rStyle w:val="1272"/>
                <w:rFonts w:hint="default"/>
                <w:color w:val="auto"/>
                <w:sz w:val="21"/>
                <w:szCs w:val="21"/>
                <w:lang w:bidi="ar"/>
              </w:rPr>
            </w:pPr>
            <w:r>
              <w:rPr>
                <w:rStyle w:val="1272"/>
                <w:rFonts w:hint="default"/>
                <w:color w:val="auto"/>
                <w:sz w:val="21"/>
                <w:szCs w:val="21"/>
                <w:lang w:bidi="ar"/>
              </w:rPr>
              <w:t xml:space="preserve">2、时间以签订合同时间为准。</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2</w:t>
            </w:r>
            <w:r/>
          </w:p>
        </w:tc>
        <w:tc>
          <w:tcPr>
            <w:tcW w:w="1276" w:type="dxa"/>
            <w:vAlign w:val="center"/>
            <w:textDirection w:val="lrTb"/>
            <w:noWrap w:val="false"/>
          </w:tcPr>
          <w:p>
            <w:pPr>
              <w:widowControl/>
              <w:rPr>
                <w:szCs w:val="21"/>
              </w:rPr>
            </w:pPr>
            <w:r>
              <w:rPr>
                <w:rFonts w:hint="eastAsia"/>
                <w:szCs w:val="21"/>
              </w:rPr>
              <w:t xml:space="preserve">售后</w:t>
            </w:r>
            <w:r>
              <w:rPr>
                <w:rFonts w:hint="eastAsia"/>
                <w:szCs w:val="21"/>
              </w:rPr>
              <w:t xml:space="preserve">承诺</w:t>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lang w:bidi="ar"/>
              </w:rPr>
              <w:t xml:space="preserve">2</w:t>
            </w:r>
            <w:r/>
          </w:p>
        </w:tc>
        <w:tc>
          <w:tcPr>
            <w:tcW w:w="5045"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268"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272"/>
                <w:rFonts w:hint="default"/>
                <w:color w:val="auto"/>
                <w:sz w:val="21"/>
                <w:szCs w:val="21"/>
                <w:lang w:bidi="ar"/>
              </w:rPr>
            </w:pPr>
            <w:r>
              <w:rPr>
                <w:rStyle w:val="1272"/>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72"/>
                <w:rFonts w:hint="default"/>
                <w:color w:val="000000" w:themeColor="text1"/>
                <w:sz w:val="21"/>
                <w:szCs w:val="21"/>
                <w:lang w:bidi="ar"/>
              </w:rPr>
            </w:pPr>
            <w:r>
              <w:rPr>
                <w:rStyle w:val="1272"/>
                <w:rFonts w:hint="default"/>
                <w:color w:val="000000" w:themeColor="text1"/>
                <w:sz w:val="21"/>
                <w:szCs w:val="21"/>
                <w:lang w:bidi="ar"/>
              </w:rPr>
              <w:t xml:space="preserve">39</w:t>
            </w:r>
            <w:r/>
          </w:p>
        </w:tc>
        <w:tc>
          <w:tcPr>
            <w:tcW w:w="5045" w:type="dxa"/>
            <w:vAlign w:val="center"/>
            <w:textDirection w:val="lrTb"/>
            <w:noWrap w:val="false"/>
          </w:tcPr>
          <w:p>
            <w:pPr>
              <w:widowControl/>
              <w:rPr>
                <w:rStyle w:val="1272"/>
                <w:rFonts w:hint="default"/>
                <w:color w:val="000000" w:themeColor="text1"/>
                <w:sz w:val="21"/>
                <w:szCs w:val="21"/>
                <w:lang w:bidi="ar"/>
              </w:rPr>
            </w:pPr>
            <w:r>
              <w:rPr>
                <w:rStyle w:val="1272"/>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根据采购清单，供应商需在技术偏离表中对本招标文件中产品技术指标（参数）的响应程度打分，所投产品全部满足招标文件技术参数要求得3</w:t>
            </w:r>
            <w:r>
              <w:rPr>
                <w:rStyle w:val="1272"/>
                <w:rFonts w:hint="default"/>
                <w:color w:val="000000" w:themeColor="text1"/>
                <w:sz w:val="21"/>
                <w:szCs w:val="21"/>
                <w:lang w:bidi="ar"/>
              </w:rPr>
              <w:t xml:space="preserve">9</w:t>
            </w:r>
            <w:r>
              <w:rPr>
                <w:rStyle w:val="1272"/>
                <w:rFonts w:hint="default"/>
                <w:color w:val="000000" w:themeColor="text1"/>
                <w:sz w:val="21"/>
                <w:szCs w:val="21"/>
                <w:lang w:bidi="ar"/>
              </w:rPr>
              <w:t xml:space="preserve">分。</w:t>
            </w:r>
            <w:r/>
          </w:p>
          <w:p>
            <w:pPr>
              <w:widowControl/>
              <w:rPr>
                <w:rStyle w:val="1272"/>
                <w:rFonts w:hint="default"/>
                <w:color w:val="000000" w:themeColor="text1"/>
                <w:sz w:val="21"/>
                <w:szCs w:val="21"/>
                <w:lang w:bidi="ar"/>
              </w:rPr>
            </w:pPr>
            <w:r>
              <w:rPr>
                <w:rStyle w:val="1272"/>
                <w:rFonts w:hint="default"/>
                <w:color w:val="000000" w:themeColor="text1"/>
                <w:sz w:val="21"/>
                <w:szCs w:val="21"/>
                <w:lang w:bidi="ar"/>
              </w:rPr>
              <w:t xml:space="preserve">打“▲”的每项负偏离扣</w:t>
            </w:r>
            <w:r>
              <w:rPr>
                <w:rStyle w:val="1272"/>
                <w:rFonts w:hint="default"/>
                <w:color w:val="000000" w:themeColor="text1"/>
                <w:sz w:val="21"/>
                <w:szCs w:val="21"/>
                <w:lang w:bidi="ar"/>
              </w:rPr>
              <w:t xml:space="preserve">3</w:t>
            </w:r>
            <w:r>
              <w:rPr>
                <w:rStyle w:val="1272"/>
                <w:rFonts w:hint="default"/>
                <w:color w:val="000000" w:themeColor="text1"/>
                <w:sz w:val="21"/>
                <w:szCs w:val="21"/>
                <w:lang w:bidi="ar"/>
              </w:rPr>
              <w:t xml:space="preserve">分</w:t>
            </w:r>
            <w:r>
              <w:rPr>
                <w:rStyle w:val="1272"/>
                <w:rFonts w:hint="default"/>
                <w:color w:val="000000" w:themeColor="text1"/>
                <w:sz w:val="21"/>
                <w:szCs w:val="21"/>
                <w:lang w:bidi="ar"/>
              </w:rPr>
              <w:t xml:space="preserve">，</w:t>
            </w:r>
            <w:r>
              <w:rPr>
                <w:rStyle w:val="1272"/>
                <w:rFonts w:hint="default"/>
                <w:color w:val="000000" w:themeColor="text1"/>
                <w:sz w:val="21"/>
                <w:szCs w:val="21"/>
                <w:lang w:bidi="ar"/>
              </w:rPr>
              <w:t xml:space="preserve">扣完为止。</w:t>
            </w:r>
            <w:r/>
          </w:p>
        </w:tc>
        <w:tc>
          <w:tcPr>
            <w:tcW w:w="2268" w:type="dxa"/>
            <w:vAlign w:val="center"/>
            <w:textDirection w:val="lrTb"/>
            <w:noWrap w:val="false"/>
          </w:tcPr>
          <w:p>
            <w:pPr>
              <w:widowControl/>
              <w:rPr>
                <w:rStyle w:val="1272"/>
                <w:rFonts w:hint="default"/>
                <w:color w:val="000000" w:themeColor="text1"/>
                <w:sz w:val="21"/>
                <w:szCs w:val="21"/>
                <w:lang w:bidi="ar"/>
              </w:rPr>
            </w:pPr>
            <w:r>
              <w:rPr>
                <w:rStyle w:val="1272"/>
                <w:rFonts w:hint="default"/>
                <w:color w:val="000000" w:themeColor="text1"/>
                <w:sz w:val="21"/>
                <w:szCs w:val="21"/>
                <w:lang w:bidi="ar"/>
              </w:rPr>
              <w:t xml:space="preserve">“▲”提供投标人或生产厂家的相关证明材料任意一种包括不限于：</w:t>
            </w:r>
            <w:bookmarkStart w:id="290" w:name="_Hlk206157369"/>
            <w:r>
              <w:rPr>
                <w:rStyle w:val="1272"/>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产品注册证、有效检测报告、使用说明书（如生产厂家的产品使用说明书为英文版，请同时提供中文版）、产品技术白皮书、产品铭牌、实物照片、</w:t>
            </w:r>
            <w:r>
              <w:rPr>
                <w:rStyle w:val="1272"/>
                <w:rFonts w:hint="default"/>
                <w:b/>
                <w:bCs/>
                <w:color w:val="000000" w:themeColor="text1"/>
                <w:sz w:val="21"/>
                <w:szCs w:val="21"/>
                <w:lang w:bidi="ar"/>
              </w:rPr>
              <w:t xml:space="preserve">官网截</w:t>
            </w:r>
            <w:r>
              <w:rPr>
                <w:rStyle w:val="1272"/>
                <w:rFonts w:hint="default"/>
                <w:b/>
                <w:bCs/>
                <w:color w:val="000000" w:themeColor="text1"/>
                <w:sz w:val="21"/>
                <w:szCs w:val="21"/>
                <w:lang w:bidi="ar"/>
              </w:rPr>
              <w:t xml:space="preserve">图、功能界面截图等</w:t>
            </w:r>
            <w:bookmarkEnd w:id="290"/>
            <w:r>
              <w:rPr>
                <w:rStyle w:val="1272"/>
                <w:rFonts w:hint="default"/>
                <w:color w:val="000000" w:themeColor="text1"/>
                <w:sz w:val="21"/>
                <w:szCs w:val="2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72"/>
                <w:rFonts w:hint="default"/>
                <w:color w:val="auto"/>
                <w:sz w:val="21"/>
                <w:szCs w:val="21"/>
                <w:lang w:bidi="ar"/>
              </w:rPr>
              <w:t xml:space="preserve">合计</w:t>
            </w:r>
            <w:r/>
          </w:p>
        </w:tc>
        <w:tc>
          <w:tcPr>
            <w:tcW w:w="1276"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72"/>
                <w:rFonts w:hint="default"/>
                <w:color w:val="auto"/>
                <w:sz w:val="21"/>
                <w:szCs w:val="21"/>
                <w:lang w:bidi="ar"/>
              </w:rPr>
            </w:pPr>
            <w:r>
              <w:rPr>
                <w:rStyle w:val="1272"/>
                <w:rFonts w:hint="default"/>
                <w:color w:val="auto"/>
                <w:sz w:val="21"/>
                <w:szCs w:val="21"/>
              </w:rPr>
              <w:t xml:space="preserve">100</w:t>
            </w:r>
            <w:r/>
          </w:p>
        </w:tc>
        <w:tc>
          <w:tcPr>
            <w:tcW w:w="5045" w:type="dxa"/>
            <w:vAlign w:val="center"/>
            <w:textDirection w:val="lrTb"/>
            <w:noWrap w:val="false"/>
          </w:tcPr>
          <w:p>
            <w:pPr>
              <w:rPr>
                <w:rStyle w:val="1272"/>
                <w:rFonts w:hint="default"/>
                <w:color w:val="auto"/>
                <w:sz w:val="21"/>
                <w:szCs w:val="21"/>
                <w:lang w:bidi="ar"/>
              </w:rPr>
            </w:pPr>
            <w:r>
              <w:rPr>
                <w:rFonts w:hint="default"/>
                <w:color w:val="auto"/>
                <w:sz w:val="21"/>
                <w:szCs w:val="21"/>
                <w:lang w:bidi="ar"/>
              </w:rPr>
            </w:r>
            <w:r/>
          </w:p>
        </w:tc>
        <w:tc>
          <w:tcPr>
            <w:tcW w:w="2268" w:type="dxa"/>
            <w:vAlign w:val="center"/>
            <w:textDirection w:val="lrTb"/>
            <w:noWrap/>
          </w:tcPr>
          <w:p>
            <w:pPr>
              <w:rPr>
                <w:rStyle w:val="1272"/>
                <w:rFonts w:hint="default"/>
                <w:color w:val="auto"/>
                <w:sz w:val="21"/>
                <w:szCs w:val="21"/>
                <w:lang w:bidi="ar"/>
              </w:rPr>
            </w:pPr>
            <w:r>
              <w:rPr>
                <w:rFonts w:hint="default"/>
                <w:color w:val="auto"/>
                <w:sz w:val="21"/>
                <w:szCs w:val="21"/>
                <w:lang w:bidi="ar"/>
              </w:rPr>
            </w:r>
            <w:r/>
          </w:p>
        </w:tc>
      </w:tr>
    </w:tbl>
    <w:p>
      <w:pPr>
        <w:pStyle w:val="1219"/>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219"/>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r/>
      <w:bookmarkEnd w:id="253"/>
      <w:r/>
      <w:bookmarkEnd w:id="254"/>
      <w:r/>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南医大常州医疗健康科技园新建工程一期科研平台三合一超高分辨</w:t>
      </w:r>
      <w:r>
        <w:rPr>
          <w:rFonts w:hint="eastAsia" w:ascii="宋体" w:hAnsi="宋体" w:cs="宋体"/>
          <w:sz w:val="24"/>
        </w:rPr>
        <w:t xml:space="preserve">液质联用</w:t>
      </w:r>
      <w:r>
        <w:rPr>
          <w:rFonts w:hint="eastAsia" w:ascii="宋体" w:hAnsi="宋体" w:cs="宋体"/>
          <w:sz w:val="24"/>
        </w:rPr>
        <w:t xml:space="preserve">仪采购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cs="宋体"/>
          <w:sz w:val="24"/>
        </w:rPr>
        <w:t xml:space="preserve">本项目为</w:t>
      </w:r>
      <w:r>
        <w:rPr>
          <w:rFonts w:hint="eastAsia" w:ascii="宋体" w:hAnsi="宋体" w:cs="宋体"/>
          <w:sz w:val="24"/>
        </w:rPr>
        <w:t xml:space="preserve">南医大常州医疗健康科技园新建工程一期科研平台三合一超高分辨</w:t>
      </w:r>
      <w:r>
        <w:rPr>
          <w:rFonts w:hint="eastAsia" w:ascii="宋体" w:hAnsi="宋体" w:cs="宋体"/>
          <w:sz w:val="24"/>
        </w:rPr>
        <w:t xml:space="preserve">液质联用</w:t>
      </w:r>
      <w:r>
        <w:rPr>
          <w:rFonts w:hint="eastAsia" w:ascii="宋体" w:hAnsi="宋体" w:cs="宋体"/>
          <w:sz w:val="24"/>
        </w:rPr>
        <w:t xml:space="preserve">仪采购</w:t>
      </w:r>
      <w:r>
        <w:rPr>
          <w:rFonts w:hint="eastAsia" w:ascii="宋体" w:hAnsi="宋体" w:cs="宋体"/>
          <w:sz w:val="24"/>
        </w:rPr>
        <w:t xml:space="preserve">项目</w:t>
      </w:r>
      <w:r>
        <w:rPr>
          <w:rFonts w:hint="eastAsia" w:ascii="宋体" w:hAnsi="宋体" w:cs="宋体"/>
          <w:sz w:val="24"/>
        </w:rPr>
        <w:t xml:space="preserve">，包括相应产品供货前的准备（包括现场踏勘、技术核对等）、产品设计、制造、采购、运输、装卸、安装、调试、技术指导培训、检验、质保期</w:t>
      </w:r>
      <w:r>
        <w:rPr>
          <w:rFonts w:hint="eastAsia" w:ascii="宋体" w:hAnsi="宋体" w:cs="宋体"/>
          <w:sz w:val="24"/>
        </w:rPr>
        <w:t xml:space="preserve">及维保服务</w:t>
      </w:r>
      <w:r>
        <w:rPr>
          <w:rFonts w:hint="eastAsia" w:ascii="宋体" w:hAnsi="宋体" w:cs="宋体"/>
          <w:sz w:val="24"/>
        </w:rPr>
        <w:t xml:space="preserve">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120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0" w:type="auto"/>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637"/>
        <w:gridCol w:w="1344"/>
        <w:gridCol w:w="10949"/>
        <w:gridCol w:w="509"/>
        <w:gridCol w:w="509"/>
      </w:tblGrid>
      <w:tr>
        <w:trPr/>
        <w:tc>
          <w:tcPr>
            <w:tcW w:w="0" w:type="auto"/>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W w:w="0" w:type="auto"/>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设备名称</w:t>
            </w:r>
            <w:r/>
          </w:p>
        </w:tc>
        <w:tc>
          <w:tcPr>
            <w:tcW w:w="0" w:type="auto"/>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技术参数</w:t>
            </w:r>
            <w:r/>
          </w:p>
        </w:tc>
        <w:tc>
          <w:tcPr>
            <w:tcW w:w="0" w:type="auto"/>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W w:w="0" w:type="auto"/>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w:t>
            </w:r>
            <w:r/>
          </w:p>
        </w:tc>
      </w:tr>
      <w:tr>
        <w:trPr/>
        <w:tc>
          <w:tcPr>
            <w:tcW w:w="0" w:type="auto"/>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0" w:type="auto"/>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三合一超高分辨</w:t>
            </w:r>
            <w:r>
              <w:rPr>
                <w:rFonts w:hint="eastAsia" w:cs="宋体" w:asciiTheme="minorEastAsia" w:hAnsiTheme="minorEastAsia" w:eastAsiaTheme="minorEastAsia"/>
                <w:szCs w:val="21"/>
              </w:rPr>
              <w:t xml:space="preserve">液质联用</w:t>
            </w:r>
            <w:r>
              <w:rPr>
                <w:rFonts w:hint="eastAsia" w:cs="宋体" w:asciiTheme="minorEastAsia" w:hAnsiTheme="minorEastAsia" w:eastAsiaTheme="minorEastAsia"/>
                <w:szCs w:val="21"/>
              </w:rPr>
              <w:t xml:space="preserve">仪</w:t>
            </w:r>
            <w:r/>
          </w:p>
        </w:tc>
        <w:tc>
          <w:tcPr>
            <w:tcW w:w="0" w:type="auto"/>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 总体要求</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1.1三合一超高分辨</w:t>
            </w:r>
            <w:r>
              <w:rPr>
                <w:rFonts w:hint="eastAsia" w:cs="宋体" w:asciiTheme="minorEastAsia" w:hAnsiTheme="minorEastAsia" w:eastAsiaTheme="minorEastAsia"/>
                <w:szCs w:val="21"/>
              </w:rPr>
              <w:t xml:space="preserve">液质联用</w:t>
            </w:r>
            <w:r>
              <w:rPr>
                <w:rFonts w:hint="eastAsia" w:cs="宋体" w:asciiTheme="minorEastAsia" w:hAnsiTheme="minorEastAsia" w:eastAsiaTheme="minorEastAsia"/>
                <w:szCs w:val="21"/>
              </w:rPr>
              <w:t xml:space="preserve">仪，适用于蛋白质组学（蛋白质鉴定、翻译后修饰、生物大分子相互作用、多肽和蛋白质定量分析）及新药研发领域（药物杂质鉴定、代谢物鉴定、疾病相关标记物研究、</w:t>
            </w:r>
            <w:r>
              <w:rPr>
                <w:rFonts w:hint="eastAsia" w:cs="宋体" w:asciiTheme="minorEastAsia" w:hAnsiTheme="minorEastAsia" w:eastAsiaTheme="minorEastAsia"/>
                <w:szCs w:val="21"/>
              </w:rPr>
              <w:t xml:space="preserve">代谢组</w:t>
            </w:r>
            <w:r>
              <w:rPr>
                <w:rFonts w:hint="eastAsia" w:cs="宋体" w:asciiTheme="minorEastAsia" w:hAnsiTheme="minorEastAsia" w:eastAsiaTheme="minorEastAsia"/>
                <w:szCs w:val="21"/>
              </w:rPr>
              <w:t xml:space="preserve">学、脂质组学、小分子与生物大分子相互作用、天然产物结构分析）。</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1.2 仪器包含液相色谱系统、高分辨质谱系统、数据处理与分析软件系统，各系统需匹配兼容，确保整体性能满足本参数要求。</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 液相色谱部分</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 </w:t>
            </w:r>
            <w:r>
              <w:rPr>
                <w:rFonts w:hint="eastAsia" w:cs="宋体" w:asciiTheme="minorEastAsia" w:hAnsiTheme="minorEastAsia" w:eastAsiaTheme="minorEastAsia"/>
                <w:szCs w:val="21"/>
              </w:rPr>
              <w:t xml:space="preserve">纳流泵</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2.1.1 泵型及工作原理：采用</w:t>
            </w:r>
            <w:r>
              <w:rPr>
                <w:rFonts w:hint="eastAsia" w:cs="宋体" w:asciiTheme="minorEastAsia" w:hAnsiTheme="minorEastAsia" w:eastAsiaTheme="minorEastAsia"/>
                <w:szCs w:val="21"/>
              </w:rPr>
              <w:t xml:space="preserve">带主动</w:t>
            </w:r>
            <w:r>
              <w:rPr>
                <w:rFonts w:hint="eastAsia" w:cs="宋体" w:asciiTheme="minorEastAsia" w:hAnsiTheme="minorEastAsia" w:eastAsiaTheme="minorEastAsia"/>
                <w:szCs w:val="21"/>
              </w:rPr>
              <w:t xml:space="preserve">流量控制的高压二元梯度泵，确保流量精准稳定。</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▲2.1.2 压力范围：最高可达 150 MPa（折算对应 1500 bar，或 21750 psi）。</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▲2.1.3 可设定流速范围：不小于 1 </w:t>
            </w:r>
            <w:r>
              <w:rPr>
                <w:rFonts w:hint="eastAsia" w:cs="宋体" w:asciiTheme="minorEastAsia" w:hAnsiTheme="minorEastAsia" w:eastAsiaTheme="minorEastAsia"/>
                <w:szCs w:val="21"/>
              </w:rPr>
              <w:t xml:space="preserve">nL</w:t>
            </w:r>
            <w:r>
              <w:rPr>
                <w:rFonts w:hint="eastAsia" w:cs="宋体" w:asciiTheme="minorEastAsia" w:hAnsiTheme="minorEastAsia" w:eastAsiaTheme="minorEastAsia"/>
                <w:szCs w:val="21"/>
              </w:rPr>
              <w:t xml:space="preserve">/min–100 μL/min，流速调节增量为 1 </w:t>
            </w:r>
            <w:r>
              <w:rPr>
                <w:rFonts w:hint="eastAsia" w:cs="宋体" w:asciiTheme="minorEastAsia" w:hAnsiTheme="minorEastAsia" w:eastAsiaTheme="minorEastAsia"/>
                <w:szCs w:val="21"/>
              </w:rPr>
              <w:t xml:space="preserve">nL</w:t>
            </w:r>
            <w:r>
              <w:rPr>
                <w:rFonts w:hint="eastAsia" w:cs="宋体" w:asciiTheme="minorEastAsia" w:hAnsiTheme="minorEastAsia" w:eastAsiaTheme="minorEastAsia"/>
                <w:szCs w:val="21"/>
              </w:rPr>
              <w:t xml:space="preserve">。</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2.1.4 流速范围：100 </w:t>
            </w:r>
            <w:r>
              <w:rPr>
                <w:rFonts w:hint="eastAsia" w:cs="宋体" w:asciiTheme="minorEastAsia" w:hAnsiTheme="minorEastAsia" w:eastAsiaTheme="minorEastAsia"/>
                <w:szCs w:val="21"/>
              </w:rPr>
              <w:t xml:space="preserve">nL</w:t>
            </w:r>
            <w:r>
              <w:rPr>
                <w:rFonts w:hint="eastAsia" w:cs="宋体" w:asciiTheme="minorEastAsia" w:hAnsiTheme="minorEastAsia" w:eastAsiaTheme="minorEastAsia"/>
                <w:szCs w:val="21"/>
              </w:rPr>
              <w:t xml:space="preserve">/min–100 μL/min，满足纳流至微流进样需求。</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2.1.5 泵溶剂通道：不少于 2 </w:t>
            </w:r>
            <w:r>
              <w:rPr>
                <w:rFonts w:hint="eastAsia" w:cs="宋体" w:asciiTheme="minorEastAsia" w:hAnsiTheme="minorEastAsia" w:eastAsiaTheme="minorEastAsia"/>
                <w:szCs w:val="21"/>
              </w:rPr>
              <w:t xml:space="preserve">个</w:t>
            </w:r>
            <w:r>
              <w:rPr>
                <w:rFonts w:hint="eastAsia" w:cs="宋体" w:asciiTheme="minorEastAsia" w:hAnsiTheme="minorEastAsia" w:eastAsiaTheme="minorEastAsia"/>
                <w:szCs w:val="21"/>
              </w:rPr>
              <w:t xml:space="preserve">（每个泵配置 1 </w:t>
            </w:r>
            <w:r>
              <w:rPr>
                <w:rFonts w:hint="eastAsia" w:cs="宋体" w:asciiTheme="minorEastAsia" w:hAnsiTheme="minorEastAsia" w:eastAsiaTheme="minorEastAsia"/>
                <w:szCs w:val="21"/>
              </w:rPr>
              <w:t xml:space="preserve">个</w:t>
            </w:r>
            <w:r>
              <w:rPr>
                <w:rFonts w:hint="eastAsia" w:cs="宋体" w:asciiTheme="minorEastAsia" w:hAnsiTheme="minorEastAsia" w:eastAsiaTheme="minorEastAsia"/>
                <w:szCs w:val="21"/>
              </w:rPr>
              <w:t xml:space="preserve">）；预校准溶剂需包含 100% 乙腈、100% 水、80/20 乙腈 / 水（%, v/v）、90/10 甲醇 / 水（%, v/v），无需额外校准即可使用。</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2.1.6 </w:t>
            </w:r>
            <w:r>
              <w:rPr>
                <w:rFonts w:hint="eastAsia" w:cs="宋体" w:asciiTheme="minorEastAsia" w:hAnsiTheme="minorEastAsia" w:eastAsiaTheme="minorEastAsia"/>
                <w:szCs w:val="21"/>
              </w:rPr>
              <w:t xml:space="preserve">泵对系统</w:t>
            </w:r>
            <w:r>
              <w:rPr>
                <w:rFonts w:hint="eastAsia" w:cs="宋体" w:asciiTheme="minorEastAsia" w:hAnsiTheme="minorEastAsia" w:eastAsiaTheme="minorEastAsia"/>
                <w:szCs w:val="21"/>
              </w:rPr>
              <w:t xml:space="preserve">梯度的延迟体积：&lt;25 </w:t>
            </w:r>
            <w:r>
              <w:rPr>
                <w:rFonts w:hint="eastAsia" w:cs="宋体" w:asciiTheme="minorEastAsia" w:hAnsiTheme="minorEastAsia" w:eastAsiaTheme="minorEastAsia"/>
                <w:szCs w:val="21"/>
              </w:rPr>
              <w:t xml:space="preserve">nL</w:t>
            </w:r>
            <w:r>
              <w:rPr>
                <w:rFonts w:hint="eastAsia" w:cs="宋体" w:asciiTheme="minorEastAsia" w:hAnsiTheme="minorEastAsia" w:eastAsiaTheme="minorEastAsia"/>
                <w:szCs w:val="21"/>
              </w:rPr>
              <w:t xml:space="preserve">，减少梯度滞后对分析结果的影响。</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★2.1.7 生物兼容性：需兼容生物样本分析（如蛋白质、多肽样本）。</w:t>
            </w:r>
            <w:r/>
          </w:p>
          <w:p>
            <w:pPr>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▲2.1.8 梯度延迟体积：20 μm 内径管路（</w:t>
            </w:r>
            <w:r>
              <w:rPr>
                <w:rFonts w:hint="eastAsia" w:cs="宋体" w:asciiTheme="minorEastAsia" w:hAnsiTheme="minorEastAsia" w:eastAsiaTheme="minorEastAsia"/>
                <w:szCs w:val="21"/>
              </w:rPr>
              <w:t xml:space="preserve">纳流</w:t>
            </w:r>
            <w:r>
              <w:rPr>
                <w:rFonts w:hint="eastAsia" w:cs="宋体" w:asciiTheme="minorEastAsia" w:hAnsiTheme="minorEastAsia" w:eastAsiaTheme="minorEastAsia"/>
                <w:szCs w:val="21"/>
              </w:rPr>
              <w:t xml:space="preserve"> / 毛细流进样方式）下 &lt; 0.5 μL；50 μm 内径管路（微流进样方式）下 &lt; 2.0 μL。</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2.1.9 pH 范围：不小于 2-10，兼容不同酸碱度流动相体系。</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2.1.10 用户界面：支持系统监控、直接系统控制功能；在系统诊断和故障排除过程中可实现远程访问，便于及时维护。</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2.1.11 安全特性：内置泄漏检测和安全泄漏处理功能，包含超压监测、温度监测，保障仪器运行安全。</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 自动进样器</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2.2.1 进样体积范围：</w:t>
            </w:r>
            <w:r>
              <w:rPr>
                <w:rFonts w:hint="eastAsia" w:cs="宋体" w:asciiTheme="minorEastAsia" w:hAnsiTheme="minorEastAsia" w:eastAsiaTheme="minorEastAsia"/>
                <w:szCs w:val="21"/>
              </w:rPr>
              <w:t xml:space="preserve">标配进</w:t>
            </w:r>
            <w:r>
              <w:rPr>
                <w:rFonts w:hint="eastAsia" w:cs="宋体" w:asciiTheme="minorEastAsia" w:hAnsiTheme="minorEastAsia" w:eastAsiaTheme="minorEastAsia"/>
                <w:szCs w:val="21"/>
              </w:rPr>
              <w:t xml:space="preserve">样体积范围 0.01–25 μL，进样步长不小于 0.01 μL，满足微量至常量样品进样需求。</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2.2.2 自动进样器控温：控温范围 4–40 °C；在相对湿度 &lt; 80% 的环境下，控温温度可低于环境温度≥23 K，确保样品稳定性。</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2.2.3 样品盘温度稳定性：±1 °C，减少温度波动对样品的影响。</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2.2.4 样品盘和容量：1.5mL 样品</w:t>
            </w:r>
            <w:r>
              <w:rPr>
                <w:rFonts w:hint="eastAsia" w:cs="宋体" w:asciiTheme="minorEastAsia" w:hAnsiTheme="minorEastAsia" w:eastAsiaTheme="minorEastAsia"/>
                <w:szCs w:val="21"/>
              </w:rPr>
              <w:t xml:space="preserve">瓶最多</w:t>
            </w:r>
            <w:r>
              <w:rPr>
                <w:rFonts w:hint="eastAsia" w:cs="宋体" w:asciiTheme="minorEastAsia" w:hAnsiTheme="minorEastAsia" w:eastAsiaTheme="minorEastAsia"/>
                <w:szCs w:val="21"/>
              </w:rPr>
              <w:t xml:space="preserve">可放置 216 </w:t>
            </w:r>
            <w:r>
              <w:rPr>
                <w:rFonts w:hint="eastAsia" w:cs="宋体" w:asciiTheme="minorEastAsia" w:hAnsiTheme="minorEastAsia" w:eastAsiaTheme="minorEastAsia"/>
                <w:szCs w:val="21"/>
              </w:rPr>
              <w:t xml:space="preserve">个</w:t>
            </w:r>
            <w:r>
              <w:rPr>
                <w:rFonts w:hint="eastAsia" w:cs="宋体" w:asciiTheme="minorEastAsia" w:hAnsiTheme="minorEastAsia" w:eastAsiaTheme="minorEastAsia"/>
                <w:szCs w:val="21"/>
              </w:rPr>
              <w:t xml:space="preserve">；支持 96 孔板和 384 孔板进样，适配不同规格样品容器。</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2.2.5 自动进样器溶液：配置不少于 4 </w:t>
            </w:r>
            <w:r>
              <w:rPr>
                <w:rFonts w:hint="eastAsia" w:cs="宋体" w:asciiTheme="minorEastAsia" w:hAnsiTheme="minorEastAsia" w:eastAsiaTheme="minorEastAsia"/>
                <w:szCs w:val="21"/>
              </w:rPr>
              <w:t xml:space="preserve">个洗针</w:t>
            </w:r>
            <w:r>
              <w:rPr>
                <w:rFonts w:hint="eastAsia" w:cs="宋体" w:asciiTheme="minorEastAsia" w:hAnsiTheme="minorEastAsia" w:eastAsiaTheme="minorEastAsia"/>
                <w:szCs w:val="21"/>
              </w:rPr>
              <w:t xml:space="preserve">液，支持</w:t>
            </w:r>
            <w:r>
              <w:rPr>
                <w:rFonts w:hint="eastAsia" w:cs="宋体" w:asciiTheme="minorEastAsia" w:hAnsiTheme="minorEastAsia" w:eastAsiaTheme="minorEastAsia"/>
                <w:szCs w:val="21"/>
              </w:rPr>
              <w:t xml:space="preserve">内外针</w:t>
            </w:r>
            <w:r>
              <w:rPr>
                <w:rFonts w:hint="eastAsia" w:cs="宋体" w:asciiTheme="minorEastAsia" w:hAnsiTheme="minorEastAsia" w:eastAsiaTheme="minorEastAsia"/>
                <w:szCs w:val="21"/>
              </w:rPr>
              <w:t xml:space="preserve">洗，</w:t>
            </w:r>
            <w:r>
              <w:rPr>
                <w:rFonts w:hint="eastAsia" w:cs="宋体" w:asciiTheme="minorEastAsia" w:hAnsiTheme="minorEastAsia" w:eastAsiaTheme="minorEastAsia"/>
                <w:szCs w:val="21"/>
              </w:rPr>
              <w:t xml:space="preserve">且洗针液</w:t>
            </w:r>
            <w:r>
              <w:rPr>
                <w:rFonts w:hint="eastAsia" w:cs="宋体" w:asciiTheme="minorEastAsia" w:hAnsiTheme="minorEastAsia" w:eastAsiaTheme="minorEastAsia"/>
                <w:szCs w:val="21"/>
              </w:rPr>
              <w:t xml:space="preserve">强弱各</w:t>
            </w:r>
            <w:r>
              <w:rPr>
                <w:rFonts w:hint="eastAsia" w:cs="宋体" w:asciiTheme="minorEastAsia" w:hAnsiTheme="minorEastAsia" w:eastAsiaTheme="minorEastAsia"/>
                <w:szCs w:val="21"/>
              </w:rPr>
              <w:t xml:space="preserve">一</w:t>
            </w:r>
            <w:r>
              <w:rPr>
                <w:rFonts w:hint="eastAsia" w:cs="宋体" w:asciiTheme="minorEastAsia" w:hAnsiTheme="minorEastAsia" w:eastAsiaTheme="minorEastAsia"/>
                <w:szCs w:val="21"/>
              </w:rPr>
              <w:t xml:space="preserve">，有效避免交叉污染。</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▲2.2.6 样品瓶底部检测技术：带有该技术，可吸取 3μL 样品中的 2.5μL，提高微量样品利用率。</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2.2.7 主动压力监测：带有主动压力监测功能，实时监控进</w:t>
            </w:r>
            <w:r>
              <w:rPr>
                <w:rFonts w:hint="eastAsia" w:cs="宋体" w:asciiTheme="minorEastAsia" w:hAnsiTheme="minorEastAsia" w:eastAsiaTheme="minorEastAsia"/>
                <w:szCs w:val="21"/>
              </w:rPr>
              <w:t xml:space="preserve">样过程</w:t>
            </w:r>
            <w:r>
              <w:rPr>
                <w:rFonts w:hint="eastAsia" w:cs="宋体" w:asciiTheme="minorEastAsia" w:hAnsiTheme="minorEastAsia" w:eastAsiaTheme="minorEastAsia"/>
                <w:szCs w:val="21"/>
              </w:rPr>
              <w:t xml:space="preserve">压力变化，保障进样准确性。</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▲2.2.8 进样方式：至少包含带定量环内联的直接进样、带有离线定量环的直接进样、带有反吹或前</w:t>
            </w:r>
            <w:r>
              <w:rPr>
                <w:rFonts w:hint="eastAsia" w:cs="宋体" w:asciiTheme="minorEastAsia" w:hAnsiTheme="minorEastAsia" w:eastAsiaTheme="minorEastAsia"/>
                <w:szCs w:val="21"/>
              </w:rPr>
              <w:t xml:space="preserve">冲洗脱进样</w:t>
            </w:r>
            <w:r>
              <w:rPr>
                <w:rFonts w:hint="eastAsia" w:cs="宋体" w:asciiTheme="minorEastAsia" w:hAnsiTheme="minorEastAsia" w:eastAsiaTheme="minorEastAsia"/>
                <w:szCs w:val="21"/>
              </w:rPr>
              <w:t xml:space="preserve">、可加热的反吹或前</w:t>
            </w:r>
            <w:r>
              <w:rPr>
                <w:rFonts w:hint="eastAsia" w:cs="宋体" w:asciiTheme="minorEastAsia" w:hAnsiTheme="minorEastAsia" w:eastAsiaTheme="minorEastAsia"/>
                <w:szCs w:val="21"/>
              </w:rPr>
              <w:t xml:space="preserve">冲洗脱进样</w:t>
            </w:r>
            <w:r>
              <w:rPr>
                <w:rFonts w:hint="eastAsia" w:cs="宋体" w:asciiTheme="minorEastAsia" w:hAnsiTheme="minorEastAsia" w:eastAsiaTheme="minorEastAsia"/>
                <w:szCs w:val="21"/>
              </w:rPr>
              <w:t xml:space="preserve">四种方式。</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 </w:t>
            </w:r>
            <w:r>
              <w:rPr>
                <w:rFonts w:hint="eastAsia" w:cs="宋体" w:asciiTheme="minorEastAsia" w:hAnsiTheme="minorEastAsia" w:eastAsiaTheme="minorEastAsia"/>
                <w:szCs w:val="21"/>
              </w:rPr>
              <w:t xml:space="preserve">柱温箱</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▲2.3.1 温控范围：最低温度高于室温 5 K，最高温度 80℃（不安装六通阀时）。</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2.3.2 温度精度：±0.1 K，确保柱温控制精准。</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2.3.3 加热时间：从 35</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 升温至 65</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 K 的时间不超过 12 分钟，提升实验效率。</w:t>
            </w:r>
            <w:r/>
          </w:p>
          <w:p>
            <w:pPr>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2.3.4 温度准确度：在 50</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 设定点下，温度准确度 ±0.5 K，</w:t>
            </w:r>
            <w:r>
              <w:rPr>
                <w:rFonts w:cs="宋体" w:asciiTheme="minorEastAsia" w:hAnsiTheme="minorEastAsia" w:eastAsiaTheme="minorEastAsia"/>
                <w:szCs w:val="21"/>
              </w:rPr>
              <w:t xml:space="preserve">保障柱温稳定性</w:t>
            </w:r>
            <w:r>
              <w:rPr>
                <w:rFonts w:cs="宋体" w:asciiTheme="minorEastAsia" w:hAnsiTheme="minorEastAsia" w:eastAsiaTheme="minorEastAsia"/>
                <w:szCs w:val="21"/>
              </w:rPr>
              <w:t xml:space="preserve">。</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2.3.5 柱容量：最大可用线性色谱柱（含接头长度）为 300 mm，适配常用色谱柱规格。</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2.3.6 切换阀：可升级选配切换阀（安装</w:t>
            </w:r>
            <w:r>
              <w:rPr>
                <w:rFonts w:hint="eastAsia" w:cs="宋体" w:asciiTheme="minorEastAsia" w:hAnsiTheme="minorEastAsia" w:eastAsiaTheme="minorEastAsia"/>
                <w:szCs w:val="21"/>
              </w:rPr>
              <w:t xml:space="preserve">于柱温箱内</w:t>
            </w:r>
            <w:r>
              <w:rPr>
                <w:rFonts w:hint="eastAsia" w:cs="宋体" w:asciiTheme="minorEastAsia" w:hAnsiTheme="minorEastAsia" w:eastAsiaTheme="minorEastAsia"/>
                <w:szCs w:val="21"/>
              </w:rPr>
              <w:t xml:space="preserve">），且切换阀需接地；最多可支持 2 </w:t>
            </w:r>
            <w:r>
              <w:rPr>
                <w:rFonts w:hint="eastAsia" w:cs="宋体" w:asciiTheme="minorEastAsia" w:hAnsiTheme="minorEastAsia" w:eastAsiaTheme="minorEastAsia"/>
                <w:szCs w:val="21"/>
              </w:rPr>
              <w:t xml:space="preserve">个</w:t>
            </w:r>
            <w:r>
              <w:rPr>
                <w:rFonts w:hint="eastAsia" w:cs="宋体" w:asciiTheme="minorEastAsia" w:hAnsiTheme="minorEastAsia" w:eastAsiaTheme="minorEastAsia"/>
                <w:szCs w:val="21"/>
              </w:rPr>
              <w:t xml:space="preserve">阀门，满足复杂样品分离需求。</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 高分辨质谱部分</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3.1 离子源</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3.1.1 离子源类型：配置独立的可加热电喷雾离子源（HESI 源），采用集成式气路电路设计；安装离子源时可自动实现气路电路连接及自动识别，无需额外操作。</w:t>
            </w:r>
            <w:r/>
          </w:p>
          <w:p>
            <w:pPr>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3.1.2 </w:t>
            </w:r>
            <w:r>
              <w:rPr>
                <w:rFonts w:hint="eastAsia" w:cs="宋体" w:asciiTheme="minorEastAsia" w:hAnsiTheme="minorEastAsia" w:eastAsiaTheme="minorEastAsia"/>
                <w:szCs w:val="21"/>
              </w:rPr>
              <w:t xml:space="preserve">喷针设计</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喷针采用</w:t>
            </w:r>
            <w:r>
              <w:rPr>
                <w:rFonts w:hint="eastAsia" w:cs="宋体" w:asciiTheme="minorEastAsia" w:hAnsiTheme="minorEastAsia" w:eastAsiaTheme="minorEastAsia"/>
                <w:szCs w:val="21"/>
              </w:rPr>
              <w:t xml:space="preserve">侧斜式喷雾设计，喷雾角度处于 55-65 度之间；</w:t>
            </w:r>
            <w:r>
              <w:rPr>
                <w:rFonts w:hint="eastAsia" w:cs="宋体" w:asciiTheme="minorEastAsia" w:hAnsiTheme="minorEastAsia" w:eastAsiaTheme="minorEastAsia"/>
                <w:szCs w:val="21"/>
              </w:rPr>
              <w:t xml:space="preserve">喷针可</w:t>
            </w:r>
            <w:r>
              <w:rPr>
                <w:rFonts w:hint="eastAsia" w:cs="宋体" w:asciiTheme="minorEastAsia" w:hAnsiTheme="minorEastAsia" w:eastAsiaTheme="minorEastAsia"/>
                <w:szCs w:val="21"/>
              </w:rPr>
              <w:t xml:space="preserve">前后、左右、上下调节，且正对废液出口；</w:t>
            </w:r>
            <w:r>
              <w:rPr>
                <w:rFonts w:hint="eastAsia" w:cs="宋体" w:asciiTheme="minorEastAsia" w:hAnsiTheme="minorEastAsia" w:eastAsiaTheme="minorEastAsia"/>
                <w:szCs w:val="21"/>
              </w:rPr>
              <w:t xml:space="preserve">雾化后废产物</w:t>
            </w:r>
            <w:r>
              <w:rPr>
                <w:rFonts w:hint="eastAsia" w:cs="宋体" w:asciiTheme="minorEastAsia" w:hAnsiTheme="minorEastAsia" w:eastAsiaTheme="minorEastAsia"/>
                <w:szCs w:val="21"/>
              </w:rPr>
              <w:t xml:space="preserve">可直接进入废液出口，确保离子源腔体洁净。</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3.1.3 雾化气：具有雾化气和辅助雾化气，具备雾化效果抗污染能力，减少样品残留影响。</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3.1.4 加热温度与流速：可加热 ESI 源，离子源最高加热温度不低于 550℃；在不分流情况下采用纯水作为溶剂时，流动相流速范围不小于 1 mL/min–1000 mL/min。</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3.1.5 自动进样与调谐：配备全自动注射泵，可实现质谱直接进样、自动调谐和校正；支持通过软件自动切换运行模式，减少人工操作。</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3.1.6 喷雾监控：质谱配置软件具备实时监控并反馈喷雾稳定性的功能，便于及时调整喷雾状态。</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3.1.7 观察窗口：离子源腔体带有观察窗口，可直接观察喷雾效果及离子源腔体洁净程度，便于维护。</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3.1.8 </w:t>
            </w:r>
            <w:r>
              <w:rPr>
                <w:rFonts w:hint="eastAsia" w:cs="宋体" w:asciiTheme="minorEastAsia" w:hAnsiTheme="minorEastAsia" w:eastAsiaTheme="minorEastAsia"/>
                <w:szCs w:val="21"/>
              </w:rPr>
              <w:t xml:space="preserve">纳喷离子源</w:t>
            </w:r>
            <w:r>
              <w:rPr>
                <w:rFonts w:hint="eastAsia" w:cs="宋体" w:asciiTheme="minorEastAsia" w:hAnsiTheme="minorEastAsia" w:eastAsiaTheme="minorEastAsia"/>
                <w:szCs w:val="21"/>
              </w:rPr>
              <w:t xml:space="preserve"> A 款：支持静态和</w:t>
            </w:r>
            <w:r>
              <w:rPr>
                <w:rFonts w:hint="eastAsia" w:cs="宋体" w:asciiTheme="minorEastAsia" w:hAnsiTheme="minorEastAsia" w:eastAsiaTheme="minorEastAsia"/>
                <w:szCs w:val="21"/>
              </w:rPr>
              <w:t xml:space="preserve">动态电</w:t>
            </w:r>
            <w:r>
              <w:rPr>
                <w:rFonts w:hint="eastAsia" w:cs="宋体" w:asciiTheme="minorEastAsia" w:hAnsiTheme="minorEastAsia" w:eastAsiaTheme="minorEastAsia"/>
                <w:szCs w:val="21"/>
              </w:rPr>
              <w:t xml:space="preserve">喷雾实验，兼容 50 </w:t>
            </w:r>
            <w:r>
              <w:rPr>
                <w:rFonts w:hint="eastAsia" w:cs="宋体" w:asciiTheme="minorEastAsia" w:hAnsiTheme="minorEastAsia" w:eastAsiaTheme="minorEastAsia"/>
                <w:szCs w:val="21"/>
              </w:rPr>
              <w:t xml:space="preserve">nL</w:t>
            </w:r>
            <w:r>
              <w:rPr>
                <w:rFonts w:hint="eastAsia" w:cs="宋体" w:asciiTheme="minorEastAsia" w:hAnsiTheme="minorEastAsia" w:eastAsiaTheme="minorEastAsia"/>
                <w:szCs w:val="21"/>
              </w:rPr>
              <w:t xml:space="preserve">/min 至 1.5 L/min 的流动相流速，适配不同进样流速需求。</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3.1.9 </w:t>
            </w:r>
            <w:r>
              <w:rPr>
                <w:rFonts w:hint="eastAsia" w:cs="宋体" w:asciiTheme="minorEastAsia" w:hAnsiTheme="minorEastAsia" w:eastAsiaTheme="minorEastAsia"/>
                <w:szCs w:val="21"/>
              </w:rPr>
              <w:t xml:space="preserve">纳喷离子源</w:t>
            </w:r>
            <w:r>
              <w:rPr>
                <w:rFonts w:hint="eastAsia" w:cs="宋体" w:asciiTheme="minorEastAsia" w:hAnsiTheme="minorEastAsia" w:eastAsiaTheme="minorEastAsia"/>
                <w:szCs w:val="21"/>
              </w:rPr>
              <w:t xml:space="preserve"> B 款：无需调整即可实现</w:t>
            </w:r>
            <w:r>
              <w:rPr>
                <w:rFonts w:hint="eastAsia" w:cs="宋体" w:asciiTheme="minorEastAsia" w:hAnsiTheme="minorEastAsia" w:eastAsiaTheme="minorEastAsia"/>
                <w:szCs w:val="21"/>
              </w:rPr>
              <w:t xml:space="preserve">最佳纳升电</w:t>
            </w:r>
            <w:r>
              <w:rPr>
                <w:rFonts w:hint="eastAsia" w:cs="宋体" w:asciiTheme="minorEastAsia" w:hAnsiTheme="minorEastAsia" w:eastAsiaTheme="minorEastAsia"/>
                <w:szCs w:val="21"/>
              </w:rPr>
              <w:t xml:space="preserve">喷雾性能，简化操作流程。</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 离子传输系统</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▲3.2.1 离子传输管设计：离子传输系统必须配有离子传输管设计，可保护分子涡轮泵、减少真空负担。</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3.2.2 高容量离子传输管：配备大口径高容量离子传输管（或同等功能部件），确保更多离子进入质谱系统，提升信号响应强度。</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3.2.3 离子传输管加热：离子传输</w:t>
            </w:r>
            <w:r>
              <w:rPr>
                <w:rFonts w:hint="eastAsia" w:cs="宋体" w:asciiTheme="minorEastAsia" w:hAnsiTheme="minorEastAsia" w:eastAsiaTheme="minorEastAsia"/>
                <w:szCs w:val="21"/>
              </w:rPr>
              <w:t xml:space="preserve">管独立</w:t>
            </w:r>
            <w:r>
              <w:rPr>
                <w:rFonts w:hint="eastAsia" w:cs="宋体" w:asciiTheme="minorEastAsia" w:hAnsiTheme="minorEastAsia" w:eastAsiaTheme="minorEastAsia"/>
                <w:szCs w:val="21"/>
              </w:rPr>
              <w:t xml:space="preserve">加热，最高加热温度不低于 400℃，可提高去溶剂效果并确保离子传输系统抗污染能力。</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3.2.4 真空隔断阀：具有真空隔断阀设计，在移去、清洗离子传输部件时无需破坏真空；待机时不需要消耗氮气，降低运行成本。</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3.2.5 电动离子漏斗：配备电动离子漏斗（或同等功能部件），可有效捕获离子并聚焦，提高离子传输效率、减少离子损失；采用独立一体化设计，不锈钢材质，拆卸清洗方便。</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3.2.6 主动离子束传输组件：带有轴向场和过滤作用的双弯曲几何设计（或同等效果设计）的主动离子束传输组件；可阻挡中性粒子和高速分子团，保持离子传输通道洁净、减少噪音、提高检测灵敏度。</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3.2.7 弯曲</w:t>
            </w:r>
            <w:r>
              <w:rPr>
                <w:rFonts w:hint="eastAsia" w:cs="宋体" w:asciiTheme="minorEastAsia" w:hAnsiTheme="minorEastAsia" w:eastAsiaTheme="minorEastAsia"/>
                <w:szCs w:val="21"/>
              </w:rPr>
              <w:t xml:space="preserve">阱</w:t>
            </w:r>
            <w:r>
              <w:rPr>
                <w:rFonts w:hint="eastAsia" w:cs="宋体" w:asciiTheme="minorEastAsia" w:hAnsiTheme="minorEastAsia" w:eastAsiaTheme="minorEastAsia"/>
                <w:szCs w:val="21"/>
              </w:rPr>
              <w:t xml:space="preserve">：采用双弯曲几何设计（或同等效果设计）的弯曲</w:t>
            </w:r>
            <w:r>
              <w:rPr>
                <w:rFonts w:hint="eastAsia" w:cs="宋体" w:asciiTheme="minorEastAsia" w:hAnsiTheme="minorEastAsia" w:eastAsiaTheme="minorEastAsia"/>
                <w:szCs w:val="21"/>
              </w:rPr>
              <w:t xml:space="preserve">阱</w:t>
            </w:r>
            <w:r>
              <w:rPr>
                <w:rFonts w:hint="eastAsia" w:cs="宋体" w:asciiTheme="minorEastAsia" w:hAnsiTheme="minorEastAsia" w:eastAsiaTheme="minorEastAsia"/>
                <w:szCs w:val="21"/>
              </w:rPr>
              <w:t xml:space="preserve">，可消除中性粒子和高速粒子团，保持离子传输通道洁净、减少噪音；同时具备自动增益控制（AGC）调节离子预富集的功能，可提高占空比和检测灵敏度。</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 高分辨率持久性质量分析器</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3.3.1 质量范围：不小于 40-6000 m/z，覆盖小分子至生物大分子（如蛋白质、多肽）的质量范围需求。</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.3.2 分辨率：满足以下任意一项即可：①分辨率范围不小于 7</w:t>
            </w:r>
            <w:r>
              <w:rPr>
                <w:rFonts w:hint="eastAsia" w:cs="宋体" w:asciiTheme="minorEastAsia" w:hAnsiTheme="minorEastAsia" w:eastAsiaTheme="minorEastAsia"/>
                <w:color w:val="000000" w:themeColor="text1"/>
                <w:szCs w:val="21"/>
              </w:rPr>
              <w:t xml:space="preserve">500 - 480000 FWHM（m/z≤200）；②</w:t>
            </w:r>
            <w:r>
              <w:rPr>
                <w:rFonts w:hint="eastAsia" w:cs="宋体" w:asciiTheme="minorEastAsia" w:hAnsiTheme="minorEastAsia" w:eastAsiaTheme="minorEastAsia"/>
                <w:color w:val="000000" w:themeColor="text1"/>
                <w:szCs w:val="21"/>
              </w:rPr>
              <w:t xml:space="preserve">在</w:t>
            </w:r>
            <w:r>
              <w:rPr>
                <w:rFonts w:hint="eastAsia" w:cs="宋体" w:asciiTheme="minorEastAsia" w:hAnsiTheme="minorEastAsia" w:eastAsiaTheme="minorEastAsia"/>
                <w:color w:val="000000" w:themeColor="text1"/>
                <w:szCs w:val="21"/>
              </w:rPr>
              <w:t xml:space="preserve">5</w:t>
            </w:r>
            <w:r>
              <w:rPr>
                <w:rFonts w:hint="eastAsia" w:cs="宋体" w:asciiTheme="minorEastAsia" w:hAnsiTheme="minorEastAsia" w:eastAsiaTheme="minorEastAsia"/>
                <w:color w:val="000000" w:themeColor="text1"/>
                <w:szCs w:val="21"/>
              </w:rPr>
              <w:t xml:space="preserve">00-550</w:t>
            </w:r>
            <w:r>
              <w:rPr>
                <w:rFonts w:hint="eastAsia" w:cs="宋体" w:asciiTheme="minorEastAsia" w:hAnsiTheme="minorEastAsia" w:eastAsiaTheme="minorEastAsia"/>
                <w:color w:val="000000" w:themeColor="text1"/>
                <w:szCs w:val="21"/>
              </w:rPr>
              <w:t xml:space="preserve"> m/z 下分辨率不低于 80000 FWHM；分辨率不少于 4 档可调，适配不同分析需求。</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3.3.3 四</w:t>
            </w:r>
            <w:r>
              <w:rPr>
                <w:rFonts w:hint="eastAsia" w:cs="宋体" w:asciiTheme="minorEastAsia" w:hAnsiTheme="minorEastAsia" w:eastAsiaTheme="minorEastAsia"/>
                <w:szCs w:val="21"/>
              </w:rPr>
              <w:t xml:space="preserve">极</w:t>
            </w:r>
            <w:r>
              <w:rPr>
                <w:rFonts w:hint="eastAsia" w:cs="宋体" w:asciiTheme="minorEastAsia" w:hAnsiTheme="minorEastAsia" w:eastAsiaTheme="minorEastAsia"/>
                <w:szCs w:val="21"/>
              </w:rPr>
              <w:t xml:space="preserve">杆：配备双曲面分段四</w:t>
            </w:r>
            <w:r>
              <w:rPr>
                <w:rFonts w:hint="eastAsia" w:cs="宋体" w:asciiTheme="minorEastAsia" w:hAnsiTheme="minorEastAsia" w:eastAsiaTheme="minorEastAsia"/>
                <w:szCs w:val="21"/>
              </w:rPr>
              <w:t xml:space="preserve">极</w:t>
            </w:r>
            <w:r>
              <w:rPr>
                <w:rFonts w:hint="eastAsia" w:cs="宋体" w:asciiTheme="minorEastAsia" w:hAnsiTheme="minorEastAsia" w:eastAsiaTheme="minorEastAsia"/>
                <w:szCs w:val="21"/>
              </w:rPr>
              <w:t xml:space="preserve">杆，分辨率≤0.4 Da；可选择的隔离窗口宽度范围不小于 0.4 Da-1200 Da；MS/MS 母离子选择质量范围不小于 40-2500 m/z，满足精准母离子选择需求。</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3.3.4 动态范围：满足以下任意一项即可：①谱内动态范围不小于五个数量级；②单张质谱</w:t>
            </w:r>
            <w:r>
              <w:rPr>
                <w:rFonts w:hint="eastAsia" w:cs="宋体" w:asciiTheme="minorEastAsia" w:hAnsiTheme="minorEastAsia" w:eastAsiaTheme="minorEastAsia"/>
                <w:szCs w:val="21"/>
              </w:rPr>
              <w:t xml:space="preserve">谱</w:t>
            </w:r>
            <w:r>
              <w:rPr>
                <w:rFonts w:hint="eastAsia" w:cs="宋体" w:asciiTheme="minorEastAsia" w:hAnsiTheme="minorEastAsia" w:eastAsiaTheme="minorEastAsia"/>
                <w:szCs w:val="21"/>
              </w:rPr>
              <w:t xml:space="preserve">图内动态范围 &gt; 1000，确保高浓度与低浓度组分同时检测。</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3.3.5 采集速率：满足以下任意一项即可：①最高采集速率不低于 40 Hz（分辨率设置为 7500 @ m/z 200）；②MS2 采集速度不低于 250 Hz，且最大离子注入时间设置≤3ms，满足高通量分析需求。</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3.3.6 质量准确度：满足以下任意一项即可：①外标法质量偏差不高于 3ppm RMS，内标法质量偏差不高于 1ppm RMS；②外标校正 24 小时内质量偏差 &lt; 5 ppm RMS。</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3.3.7 灵敏度：MS/MS 灵敏度需满足柱上 50 </w:t>
            </w:r>
            <w:r>
              <w:rPr>
                <w:rFonts w:hint="eastAsia" w:cs="宋体" w:asciiTheme="minorEastAsia" w:hAnsiTheme="minorEastAsia" w:eastAsiaTheme="minorEastAsia"/>
                <w:szCs w:val="21"/>
              </w:rPr>
              <w:t xml:space="preserve">fg</w:t>
            </w:r>
            <w:r>
              <w:rPr>
                <w:rFonts w:hint="eastAsia" w:cs="宋体" w:asciiTheme="minorEastAsia" w:hAnsiTheme="minorEastAsia" w:eastAsiaTheme="minorEastAsia"/>
                <w:szCs w:val="21"/>
              </w:rPr>
              <w:t xml:space="preserve"> 利血平进样，信噪比（S/N）不低于 100:1；选择离子扫描（SIM）灵敏度需满足柱上 50 </w:t>
            </w:r>
            <w:r>
              <w:rPr>
                <w:rFonts w:hint="eastAsia" w:cs="宋体" w:asciiTheme="minorEastAsia" w:hAnsiTheme="minorEastAsia" w:eastAsiaTheme="minorEastAsia"/>
                <w:szCs w:val="21"/>
              </w:rPr>
              <w:t xml:space="preserve">fg</w:t>
            </w:r>
            <w:r>
              <w:rPr>
                <w:rFonts w:hint="eastAsia" w:cs="宋体" w:asciiTheme="minorEastAsia" w:hAnsiTheme="minorEastAsia" w:eastAsiaTheme="minorEastAsia"/>
                <w:szCs w:val="21"/>
              </w:rPr>
              <w:t xml:space="preserve"> 利血平进样，信噪比（S/N）不低于 150:1。</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▲3.3.8 质量轴稳定性：设备校正一次后，连续 24 小时内无需再次校正质量轴；使用校正液测量质量轴准确度≤3ppm。</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3.3.9 扫描模式：至少支持以下六种高分辨扫描模式：①高</w:t>
            </w:r>
            <w:r>
              <w:rPr>
                <w:rFonts w:hint="eastAsia" w:cs="宋体" w:asciiTheme="minorEastAsia" w:hAnsiTheme="minorEastAsia" w:eastAsiaTheme="minorEastAsia"/>
                <w:szCs w:val="21"/>
              </w:rPr>
              <w:t xml:space="preserve">分辨全</w:t>
            </w:r>
            <w:r>
              <w:rPr>
                <w:rFonts w:hint="eastAsia" w:cs="宋体" w:asciiTheme="minorEastAsia" w:hAnsiTheme="minorEastAsia" w:eastAsiaTheme="minorEastAsia"/>
                <w:szCs w:val="21"/>
              </w:rPr>
              <w:t xml:space="preserve">扫描 MS 和 MS/MS；②高分辨选择离子扫描；③高分辨正负离子切换扫描；④高分辨数据依赖子离子扫描；⑤高分辨数据非依赖扫描（DIA）；⑥高分辨平行反应监测子离子扫描。</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3.3.10 检测器：满足以下任意一项即可：①采用 FT 无损检测技术；②若采用微通道板（MCP）或电子倍增器等消耗型检测器，需额外</w:t>
            </w:r>
            <w:r>
              <w:rPr>
                <w:rFonts w:hint="eastAsia" w:cs="宋体" w:asciiTheme="minorEastAsia" w:hAnsiTheme="minorEastAsia" w:eastAsiaTheme="minorEastAsia"/>
                <w:color w:val="000000" w:themeColor="text1"/>
                <w:szCs w:val="21"/>
              </w:rPr>
              <w:t xml:space="preserve">提供相应备用检测器至少 3 </w:t>
            </w:r>
            <w:r>
              <w:rPr>
                <w:rFonts w:hint="eastAsia" w:cs="宋体" w:asciiTheme="minorEastAsia" w:hAnsiTheme="minorEastAsia" w:eastAsiaTheme="minorEastAsia"/>
                <w:color w:val="000000" w:themeColor="text1"/>
                <w:szCs w:val="21"/>
              </w:rPr>
              <w:t xml:space="preserve">个</w:t>
            </w:r>
            <w:r>
              <w:rPr>
                <w:rFonts w:hint="eastAsia" w:cs="宋体" w:asciiTheme="minorEastAsia" w:hAnsiTheme="minorEastAsia" w:eastAsiaTheme="minorEastAsia"/>
                <w:color w:val="000000" w:themeColor="text1"/>
                <w:szCs w:val="21"/>
              </w:rPr>
              <w:t xml:space="preserve">。</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3.4 快速扫描高通量质量分析器</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3.4.1 质量范围：不小于 40-6000 m/z，与高分辨率持久性质量分析器质量范围匹配。</w:t>
            </w:r>
            <w:r/>
          </w:p>
          <w:p>
            <w:pPr>
              <w:rPr>
                <w:rFonts w:hint="eastAsia" w:cs="宋体" w:asciiTheme="minorEastAsia" w:hAnsiTheme="minorEastAsia" w:eastAsiaTheme="minorEastAsia"/>
                <w:color w:val="000000" w:themeColor="text1"/>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color w:val="000000" w:themeColor="text1"/>
                <w:szCs w:val="21"/>
              </w:rPr>
              <w:t xml:space="preserve">3.4.2分辨率：满足以下任意一项即可：①</w:t>
            </w:r>
            <w:r>
              <w:rPr>
                <w:rFonts w:hint="eastAsia" w:cs="宋体" w:asciiTheme="minorEastAsia" w:hAnsiTheme="minorEastAsia" w:eastAsiaTheme="minorEastAsia"/>
                <w:color w:val="000000" w:themeColor="text1"/>
                <w:szCs w:val="21"/>
              </w:rPr>
              <w:t xml:space="preserve">在</w:t>
            </w:r>
            <w:r>
              <w:rPr>
                <w:rFonts w:hint="eastAsia" w:cs="宋体" w:asciiTheme="minorEastAsia" w:hAnsiTheme="minorEastAsia" w:eastAsiaTheme="minorEastAsia"/>
                <w:color w:val="000000" w:themeColor="text1"/>
                <w:szCs w:val="21"/>
              </w:rPr>
              <w:t xml:space="preserve">500-550</w:t>
            </w:r>
            <w:r>
              <w:rPr>
                <w:rFonts w:hint="eastAsia" w:cs="宋体" w:asciiTheme="minorEastAsia" w:hAnsiTheme="minorEastAsia" w:eastAsiaTheme="minorEastAsia"/>
                <w:color w:val="000000" w:themeColor="text1"/>
                <w:szCs w:val="21"/>
              </w:rPr>
              <w:t xml:space="preserve"> m/z下分辨率不低于 80000 FWHM；②分辨率范围不小于 7500 - 480000 FWHM（m/z≤200）。</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3.4.3 采集速度：满足以下任意一项即可：①MS2 采集速度不低于 250 Hz，最大离子注入时间设置≤3ms；②最高采集速率不低于 40 Hz（分辨率设置为 7500 @ m/z 200）。</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3.4.4 质量精度：满足以下任意一项即可：①使用校正液测量，外标校正 24 小时内质量偏差 &lt; 5 ppm RMS；②外标法质量偏差不高于 3ppm RMS。</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3.4.5 动态范围：满足以下任意一项即可：①单张质谱</w:t>
            </w:r>
            <w:r>
              <w:rPr>
                <w:rFonts w:hint="eastAsia" w:cs="宋体" w:asciiTheme="minorEastAsia" w:hAnsiTheme="minorEastAsia" w:eastAsiaTheme="minorEastAsia"/>
                <w:szCs w:val="21"/>
              </w:rPr>
              <w:t xml:space="preserve">谱</w:t>
            </w:r>
            <w:r>
              <w:rPr>
                <w:rFonts w:hint="eastAsia" w:cs="宋体" w:asciiTheme="minorEastAsia" w:hAnsiTheme="minorEastAsia" w:eastAsiaTheme="minorEastAsia"/>
                <w:szCs w:val="21"/>
              </w:rPr>
              <w:t xml:space="preserve">图内动态范围 &gt; 1000；②谱内动态范围不小于五个数量级，满足高通量分析中的动态范围需求。</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 高场非对称波形离子迁移模块（或同等功能模块）</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3.5.1 功能与兼容性：配备高场非对称波形离子迁移模块（或同等功能离子迁移模块）；可去除干扰物并提高目标物传输效率、提升分析选择性；兼容 100 </w:t>
            </w:r>
            <w:r>
              <w:rPr>
                <w:rFonts w:hint="eastAsia" w:cs="宋体" w:asciiTheme="minorEastAsia" w:hAnsiTheme="minorEastAsia" w:eastAsiaTheme="minorEastAsia"/>
                <w:szCs w:val="21"/>
              </w:rPr>
              <w:t xml:space="preserve">nL</w:t>
            </w:r>
            <w:r>
              <w:rPr>
                <w:rFonts w:hint="eastAsia" w:cs="宋体" w:asciiTheme="minorEastAsia" w:hAnsiTheme="minorEastAsia" w:eastAsiaTheme="minorEastAsia"/>
                <w:szCs w:val="21"/>
              </w:rPr>
              <w:t xml:space="preserve">/min 至 1 mL/min 的流动相流速。</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3.6 数据处理系统</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3.6.1 工作站配置：配备电脑工作站 1 台，可实现液相色谱（LC）和质谱（MS/MS）的全自动控制；操作界面简洁人性化，降低操作难度。</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3.6.2 调谐与方法优化：支持高效的仪器调谐和方法优化功能；方法优化至少包含碰撞气压力以及碰撞能量的自动优化；可利用优化后的参数快速便捷地建立分析方法，提升实验效率。</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3.6.3 软件功能：工作站及软件具备数据采集、数据处理、定性分析、定量分析、建立数据库、谱库检索等功能；支持 Windows 10（64bit）及以上同性能英文操作系统；软件需满足当今分析检测实验室需求，提供能够实现最优化痕量分析的全套系统解决方案。</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 配置软件</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4.1 配套蛋白软件：须具备配套的蛋白分析软件。</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4.2 核心功能：</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4.2.1 蛋白质分析功能：支持蛋白质 ID 识别、翻译后修饰（如磷酸化、乙酰化等）位点识别、肽段序列分析、肽段序列覆盖度计算、谱图匹配、鉴定结果可信度打分功能。</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4.2.2 标记定量功能：可处理同位素标记的蛋白质组学定量数据，包括但不限于 SILAC 标记、</w:t>
            </w:r>
            <w:r>
              <w:rPr>
                <w:rFonts w:hint="eastAsia" w:cs="宋体" w:asciiTheme="minorEastAsia" w:hAnsiTheme="minorEastAsia" w:eastAsiaTheme="minorEastAsia"/>
                <w:szCs w:val="21"/>
              </w:rPr>
              <w:t xml:space="preserve">iTRAQ</w:t>
            </w:r>
            <w:r>
              <w:rPr>
                <w:rFonts w:hint="eastAsia" w:cs="宋体" w:asciiTheme="minorEastAsia" w:hAnsiTheme="minorEastAsia" w:eastAsiaTheme="minorEastAsia"/>
                <w:szCs w:val="21"/>
              </w:rPr>
              <w:t xml:space="preserve"> 标记、TMT 标记；能够给出不同样本间同一蛋白质的相对定量结果数据。</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4.2.3 统计分析功能：可进行统计学类分析，生成的统计图表包括但不限于柱状图、饼图、韦恩图、火山图、分层聚类热图。</w:t>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4.2.4 非标记定量功能：支持处理非同位素标记的蛋白质组学定量数据，满足不同定量分析需求。</w:t>
            </w:r>
            <w:r/>
          </w:p>
          <w:p>
            <w:pPr>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4.2.5 数据解析功能：支持使用搜索引擎，可解析来自各种裂解技术（如 CID、HCD、ETD）的 MS</w:t>
            </w:r>
            <w:r>
              <w:rPr>
                <w:rFonts w:ascii="Cambria Math" w:hAnsi="Cambria Math" w:cs="Cambria Math" w:eastAsiaTheme="minorEastAsia"/>
                <w:szCs w:val="21"/>
              </w:rPr>
              <w:t xml:space="preserve">ⁿ</w:t>
            </w:r>
            <w:r>
              <w:rPr>
                <w:rFonts w:cs="宋体" w:asciiTheme="minorEastAsia" w:hAnsiTheme="minorEastAsia" w:eastAsiaTheme="minorEastAsia"/>
                <w:szCs w:val="21"/>
              </w:rPr>
              <w:t xml:space="preserve">数据；可配合蛋白质数据库（数据库可在网上免费下载）进行高通量的蛋白质鉴定。</w:t>
            </w:r>
            <w:r/>
          </w:p>
        </w:tc>
        <w:tc>
          <w:tcPr>
            <w:tcW w:w="0" w:type="auto"/>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0" w:type="auto"/>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套</w:t>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b/>
          <w:sz w:val="24"/>
          <w:szCs w:val="28"/>
        </w:rPr>
      </w:pPr>
      <w:r>
        <w:rPr>
          <w:rFonts w:hint="eastAsia" w:ascii="宋体" w:hAnsi="宋体"/>
          <w:b/>
          <w:sz w:val="24"/>
          <w:szCs w:val="28"/>
        </w:rPr>
        <w:t xml:space="preserve">九</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1009"/>
        <w:ind w:firstLine="480"/>
        <w:spacing w:before="0" w:line="360" w:lineRule="auto"/>
        <w:rPr>
          <w:rFonts w:hint="eastAsia" w:cs="宋体"/>
        </w:rPr>
      </w:pPr>
      <w:r>
        <w:rPr>
          <w:rFonts w:hint="eastAsia" w:cs="宋体"/>
        </w:rPr>
        <w:t xml:space="preserve">1、</w:t>
      </w:r>
      <w:bookmarkStart w:id="291" w:name="_Hlk210046406"/>
      <w:r>
        <w:rPr>
          <w:rFonts w:hint="eastAsia" w:cs="宋体"/>
        </w:rPr>
        <w:t xml:space="preserve">货物报价：投标报价采用固定总价形式报价。所报价格包括所投货物及其备品、备件和专用工具费用、税费及包装、运至最终目的地</w:t>
      </w:r>
      <w:r>
        <w:rPr>
          <w:rFonts w:hint="eastAsia" w:cs="宋体"/>
        </w:rPr>
        <w:t xml:space="preserve">（</w:t>
      </w:r>
      <w:r>
        <w:rPr>
          <w:rFonts w:hint="eastAsia" w:cs="宋体"/>
        </w:rPr>
        <w:t xml:space="preserve">南医大常州医疗健康科技园</w:t>
      </w:r>
      <w:r>
        <w:rPr>
          <w:rFonts w:hint="eastAsia" w:cs="宋体"/>
        </w:rPr>
        <w:t xml:space="preserve">）</w:t>
      </w:r>
      <w:r>
        <w:rPr>
          <w:rFonts w:hint="eastAsia" w:cs="宋体"/>
        </w:rPr>
        <w:t xml:space="preserve">的运输、仓储、保险、现场吊装、检测验收、检测费、安装调试、技术支持与培训、售后服务</w:t>
      </w:r>
      <w:r>
        <w:rPr>
          <w:rFonts w:hint="eastAsia" w:cs="宋体"/>
        </w:rPr>
        <w:t xml:space="preserve">与维保及</w:t>
      </w:r>
      <w:r>
        <w:rPr>
          <w:rFonts w:hint="eastAsia" w:cs="宋体"/>
        </w:rPr>
        <w:t xml:space="preserve">相关劳务支出等工作所发生的全部费</w:t>
      </w:r>
      <w:r>
        <w:rPr>
          <w:rFonts w:hint="eastAsia" w:cs="宋体"/>
        </w:rPr>
        <w:t xml:space="preserve">用、企业利润、税金和政策性文件规定以及质</w:t>
      </w:r>
      <w:r>
        <w:rPr>
          <w:rFonts w:hint="eastAsia" w:cs="宋体"/>
        </w:rPr>
        <w:t xml:space="preserve">保期间</w:t>
      </w:r>
      <w:r>
        <w:rPr>
          <w:rFonts w:hint="eastAsia" w:cs="宋体"/>
        </w:rPr>
        <w:t xml:space="preserve">费用等完成本项目的一切费用</w:t>
      </w:r>
      <w:r>
        <w:rPr>
          <w:rFonts w:hint="eastAsia" w:cs="宋体"/>
        </w:rPr>
        <w:t xml:space="preserve">。</w:t>
      </w:r>
      <w:bookmarkEnd w:id="291"/>
      <w:r/>
      <w:r/>
    </w:p>
    <w:p>
      <w:pPr>
        <w:pStyle w:val="1009"/>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2" w:name="_Toc99301425"/>
      <w:r>
        <w:rPr>
          <w:b/>
          <w:sz w:val="36"/>
          <w:szCs w:val="36"/>
        </w:rPr>
        <w:t xml:space="preserve">第六章</w:t>
      </w:r>
      <w:r>
        <w:rPr>
          <w:b/>
          <w:sz w:val="36"/>
          <w:szCs w:val="36"/>
        </w:rPr>
        <w:t xml:space="preserve">   </w:t>
      </w:r>
      <w:r>
        <w:rPr>
          <w:b/>
          <w:sz w:val="36"/>
          <w:szCs w:val="36"/>
        </w:rPr>
        <w:t xml:space="preserve">合同文本</w:t>
      </w:r>
      <w:bookmarkEnd w:id="292"/>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南医大常州医疗健康科技园新建工程一期科研平台三合一超高分辨</w:t>
      </w:r>
      <w:r>
        <w:rPr>
          <w:rFonts w:hint="eastAsia"/>
          <w:b/>
          <w:bCs/>
          <w:sz w:val="32"/>
        </w:rPr>
        <w:t xml:space="preserve">液质联用</w:t>
      </w:r>
      <w:r>
        <w:rPr>
          <w:rFonts w:hint="eastAsia"/>
          <w:b/>
          <w:bCs/>
          <w:sz w:val="32"/>
        </w:rPr>
        <w:t xml:space="preserve">仪采购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43"/>
        <w:rPr>
          <w:rFonts w:hint="eastAsia"/>
          <w:color w:val="auto"/>
        </w:rPr>
      </w:pPr>
      <w:r>
        <w:rPr>
          <w:color w:val="auto"/>
        </w:rPr>
        <w:t xml:space="preserve"></w:t>
      </w:r>
      <w:r>
        <w:rPr>
          <w:color w:val="auto"/>
        </w:rPr>
        <w:t xml:space="preserve"></w:t>
      </w:r>
      <w:r>
        <w:rPr>
          <w:color w:val="auto"/>
        </w:rPr>
        <w:t xml:space="preserve"></w:t>
      </w:r>
      <w:r/>
    </w:p>
    <w:p>
      <w:pPr>
        <w:ind w:firstLine="480"/>
        <w:spacing w:line="420" w:lineRule="atLeast"/>
        <w:widowControl/>
        <w:rPr>
          <w:rFonts w:hint="eastAsia" w:ascii="宋体" w:hAnsi="宋体"/>
          <w:sz w:val="24"/>
        </w:rPr>
      </w:pPr>
      <w:r/>
      <w:bookmarkStart w:id="293"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南医大常州医疗健康科技园新建工程一期科研平台三合一超高分辨</w:t>
      </w:r>
      <w:r>
        <w:rPr>
          <w:rFonts w:hint="eastAsia" w:ascii="宋体" w:hAnsi="宋体"/>
          <w:sz w:val="24"/>
        </w:rPr>
        <w:t xml:space="preserve">液质联用</w:t>
      </w:r>
      <w:r>
        <w:rPr>
          <w:rFonts w:hint="eastAsia" w:ascii="宋体" w:hAnsi="宋体"/>
          <w:sz w:val="24"/>
        </w:rPr>
        <w:t xml:space="preserve">仪采购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bCs/>
          <w:sz w:val="24"/>
        </w:rPr>
        <w:t xml:space="preserve">南医大常州医疗健康科技园新建工程一期科研平台三合一超高分辨</w:t>
      </w:r>
      <w:r>
        <w:rPr>
          <w:rFonts w:hint="eastAsia"/>
          <w:bCs/>
          <w:sz w:val="24"/>
        </w:rPr>
        <w:t xml:space="preserve">液质联用</w:t>
      </w:r>
      <w:r>
        <w:rPr>
          <w:rFonts w:hint="eastAsia"/>
          <w:bCs/>
          <w:sz w:val="24"/>
        </w:rPr>
        <w:t xml:space="preserve">仪采购</w:t>
      </w:r>
      <w:r>
        <w:rPr>
          <w:rFonts w:hint="eastAsia" w:ascii="宋体" w:hAnsi="宋体"/>
          <w:sz w:val="24"/>
        </w:rPr>
        <w:t xml:space="preserve">项目，包括相应产品供货前的准备（包括现场踏勘、技术核对等）、产品设计、制造、采购、运输、装卸、安装、调试、技术指导培训、检验、质保期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南医大常州医疗健康科技园新建工程一期科研平台三合一超高分辨</w:t>
      </w:r>
      <w:r>
        <w:rPr>
          <w:rFonts w:hint="eastAsia" w:ascii="宋体" w:hAnsi="宋体"/>
          <w:sz w:val="24"/>
        </w:rPr>
        <w:t xml:space="preserve">液质联用</w:t>
      </w:r>
      <w:r>
        <w:rPr>
          <w:rFonts w:hint="eastAsia" w:ascii="宋体" w:hAnsi="宋体"/>
          <w:sz w:val="24"/>
        </w:rPr>
        <w:t xml:space="preserve">仪</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120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2"/>
        <w:jc w:val="left"/>
        <w:spacing w:line="420" w:lineRule="atLeast"/>
        <w:widowControl/>
        <w:rPr>
          <w:rFonts w:hint="eastAsia"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3"/>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sz w:val="24"/>
        </w:rPr>
      </w:pPr>
      <w:r>
        <w:rPr>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820"/>
      </w:pPr>
      <w:r/>
      <w:r/>
    </w:p>
    <w:p>
      <w:pPr>
        <w:pStyle w:val="820"/>
      </w:pPr>
      <w:r/>
      <w:r/>
    </w:p>
    <w:p>
      <w:pPr>
        <w:pStyle w:val="808"/>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808"/>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43"/>
        <w:rPr>
          <w:rFonts w:hint="eastAsia"/>
          <w:color w:val="auto"/>
        </w:rPr>
      </w:pPr>
      <w:r>
        <w:rPr>
          <w:rFonts w:hint="eastAsia"/>
          <w:color w:val="auto"/>
        </w:rPr>
      </w:r>
      <w:r/>
    </w:p>
    <w:p>
      <w:pPr>
        <w:pStyle w:val="1009"/>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pStyle w:val="1009"/>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43"/>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808"/>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43"/>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3"/>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南医大常州医疗健康科技园新建工程一期科研平台三合一超高分辨</w:t>
      </w:r>
      <w:r>
        <w:rPr>
          <w:rFonts w:hint="eastAsia" w:ascii="Arial" w:hAnsi="Arial"/>
          <w:bCs/>
          <w:color w:val="auto"/>
          <w:u w:val="single"/>
        </w:rPr>
        <w:t xml:space="preserve">液质联用</w:t>
      </w:r>
      <w:r>
        <w:rPr>
          <w:rFonts w:hint="eastAsia" w:ascii="Arial" w:hAnsi="Arial"/>
          <w:bCs/>
          <w:color w:val="auto"/>
          <w:u w:val="single"/>
        </w:rPr>
        <w:t xml:space="preserve">仪采购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44"/>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pPr>
        <w:pStyle w:val="808"/>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20"/>
      </w:pPr>
      <w:r/>
      <w:r/>
    </w:p>
    <w:p>
      <w:pPr>
        <w:pStyle w:val="1219"/>
        <w:rPr>
          <w:rFonts w:hint="eastAsia" w:ascii="宋体" w:hAnsi="宋体" w:cs="楷体"/>
          <w:b/>
          <w:bCs/>
          <w:sz w:val="24"/>
          <w:szCs w:val="24"/>
        </w:rPr>
      </w:pPr>
      <w:r>
        <w:rPr>
          <w:rFonts w:hint="eastAsia"/>
          <w:b/>
          <w:bCs/>
          <w:sz w:val="24"/>
          <w:szCs w:val="24"/>
        </w:rPr>
        <w:t xml:space="preserve">注意事项：</w:t>
      </w:r>
      <w:bookmarkStart w:id="294"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 </w:t>
      </w:r>
      <w:r>
        <w:rPr>
          <w:rFonts w:hint="eastAsia" w:ascii="宋体" w:hAnsi="宋体" w:eastAsia="宋体" w:cs="楷体"/>
          <w:sz w:val="24"/>
          <w:szCs w:val="24"/>
        </w:rPr>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1009"/>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1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12"/>
        <w:ind w:firstLine="480"/>
        <w:rPr>
          <w:rFonts w:hint="eastAsia" w:ascii="宋体" w:hAnsi="宋体" w:eastAsia="宋体" w:cs="楷体"/>
          <w:sz w:val="24"/>
          <w:szCs w:val="24"/>
        </w:rPr>
      </w:pPr>
      <w:r>
        <w:rPr>
          <w:rFonts w:hint="eastAsia" w:ascii="宋体" w:hAnsi="宋体" w:eastAsia="宋体" w:cs="楷体"/>
          <w:sz w:val="24"/>
          <w:szCs w:val="24"/>
        </w:rPr>
      </w:r>
      <w:r/>
    </w:p>
    <w:p>
      <w:pPr>
        <w:pStyle w:val="1212"/>
        <w:ind w:firstLine="0"/>
      </w:pPr>
      <w:r/>
      <w:r/>
    </w:p>
    <w:p>
      <w:pPr>
        <w:pStyle w:val="1212"/>
        <w:ind w:firstLine="0"/>
      </w:pPr>
      <w:r/>
      <w:r/>
    </w:p>
    <w:p>
      <w:pPr>
        <w:pStyle w:val="1212"/>
        <w:ind w:firstLine="0"/>
      </w:pPr>
      <w:r/>
      <w:r/>
    </w:p>
    <w:p>
      <w:pPr>
        <w:pStyle w:val="1212"/>
        <w:ind w:firstLine="0"/>
      </w:pPr>
      <w:r/>
      <w:r/>
    </w:p>
    <w:p>
      <w:pPr>
        <w:pStyle w:val="1212"/>
        <w:ind w:firstLine="0"/>
      </w:pPr>
      <w:r/>
      <w:r/>
    </w:p>
    <w:p>
      <w:pPr>
        <w:pStyle w:val="1212"/>
        <w:ind w:firstLine="0"/>
      </w:pPr>
      <w:r/>
      <w:r/>
    </w:p>
    <w:p>
      <w:pPr>
        <w:pStyle w:val="1212"/>
        <w:ind w:firstLine="0"/>
      </w:pPr>
      <w:r/>
      <w:r/>
    </w:p>
    <w:p>
      <w:pPr>
        <w:pStyle w:val="1212"/>
        <w:ind w:firstLine="0"/>
      </w:pPr>
      <w:r/>
      <w:r/>
    </w:p>
    <w:p>
      <w:pPr>
        <w:pStyle w:val="1212"/>
        <w:ind w:firstLine="0"/>
      </w:pPr>
      <w:r/>
      <w:r/>
    </w:p>
    <w:p>
      <w:pPr>
        <w:pStyle w:val="1212"/>
        <w:ind w:firstLine="0"/>
      </w:pPr>
      <w:r/>
      <w:r/>
    </w:p>
    <w:p>
      <w:pPr>
        <w:pStyle w:val="1212"/>
        <w:ind w:firstLine="0"/>
      </w:pPr>
      <w:r/>
      <w:r/>
    </w:p>
    <w:p>
      <w:pPr>
        <w:pStyle w:val="1212"/>
        <w:ind w:firstLine="0"/>
      </w:pPr>
      <w:r/>
      <w:r/>
    </w:p>
    <w:p>
      <w:pPr>
        <w:pStyle w:val="1212"/>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12"/>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212"/>
        <w:ind w:firstLine="400"/>
      </w:pPr>
      <w:r/>
      <w:r/>
    </w:p>
    <w:p>
      <w:pPr>
        <w:pStyle w:val="1009"/>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212"/>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09"/>
        <w:spacing w:line="440" w:lineRule="exact"/>
        <w:rPr>
          <w:rFonts w:hint="eastAsia" w:cs="楷体"/>
        </w:rPr>
      </w:pPr>
      <w:r>
        <w:rPr>
          <w:rFonts w:hint="eastAsia" w:cs="楷体"/>
        </w:rPr>
      </w:r>
      <w:r/>
    </w:p>
    <w:p>
      <w:pPr>
        <w:pStyle w:val="1009"/>
        <w:spacing w:line="440" w:lineRule="exact"/>
        <w:rPr>
          <w:rFonts w:hint="eastAsia" w:cs="楷体"/>
        </w:rPr>
      </w:pPr>
      <w:r>
        <w:rPr>
          <w:rFonts w:hint="eastAsia" w:cs="楷体"/>
        </w:rPr>
      </w:r>
      <w:r/>
    </w:p>
    <w:p>
      <w:pPr>
        <w:pStyle w:val="1009"/>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2890"/>
        <w:spacing w:line="400" w:lineRule="exact"/>
        <w:rPr>
          <w:b/>
          <w:spacing w:val="20"/>
          <w:sz w:val="32"/>
          <w:szCs w:val="32"/>
        </w:rPr>
        <w:outlineLvl w:val="1"/>
      </w:pPr>
      <w:r/>
      <w:bookmarkStart w:id="295" w:name="_Toc425"/>
      <w:r/>
      <w:bookmarkStart w:id="296" w:name="_Toc29116"/>
      <w:r/>
      <w:bookmarkStart w:id="297" w:name="_Toc373054875"/>
      <w:r/>
      <w:bookmarkStart w:id="298" w:name="_Toc30417"/>
      <w:r/>
      <w:bookmarkEnd w:id="294"/>
      <w:r/>
      <w:bookmarkEnd w:id="295"/>
      <w:r/>
      <w:bookmarkEnd w:id="296"/>
      <w:r/>
      <w:bookmarkEnd w:id="297"/>
      <w:r/>
      <w:bookmarkEnd w:id="298"/>
      <w:r>
        <w:rPr>
          <w:rFonts w:hint="eastAsia"/>
          <w:b/>
          <w:spacing w:val="20"/>
          <w:sz w:val="32"/>
          <w:szCs w:val="32"/>
        </w:rPr>
        <w:t xml:space="preserve">六、项目实施方案</w:t>
      </w:r>
      <w:r>
        <w:rPr>
          <w:rFonts w:hint="eastAsia"/>
          <w:b/>
          <w:spacing w:val="20"/>
          <w:sz w:val="32"/>
          <w:szCs w:val="32"/>
        </w:rPr>
        <w:t xml:space="preserve"> </w:t>
      </w:r>
      <w:r/>
    </w:p>
    <w:p>
      <w:pPr>
        <w:pStyle w:val="1009"/>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43"/>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219"/>
      </w:pPr>
      <w:r/>
      <w:r/>
    </w:p>
    <w:p>
      <w:pPr>
        <w:pStyle w:val="1219"/>
      </w:pPr>
      <w:r/>
      <w:r/>
    </w:p>
    <w:p>
      <w:pPr>
        <w:pStyle w:val="1219"/>
      </w:pPr>
      <w:r/>
      <w:r/>
    </w:p>
    <w:p>
      <w:pPr>
        <w:pStyle w:val="1219"/>
      </w:pPr>
      <w:r/>
      <w:r/>
    </w:p>
    <w:p>
      <w:pPr>
        <w:pStyle w:val="1219"/>
      </w:pPr>
      <w:r/>
      <w:r/>
    </w:p>
    <w:p>
      <w:pPr>
        <w:pStyle w:val="1219"/>
      </w:pPr>
      <w:r/>
      <w:r/>
    </w:p>
    <w:p>
      <w:pPr>
        <w:pStyle w:val="1219"/>
      </w:pPr>
      <w:r/>
      <w:r/>
    </w:p>
    <w:p>
      <w:pPr>
        <w:ind w:firstLine="2529"/>
        <w:spacing w:line="400" w:lineRule="exact"/>
        <w:rPr>
          <w:b/>
          <w:spacing w:val="20"/>
          <w:sz w:val="32"/>
          <w:szCs w:val="32"/>
        </w:rPr>
        <w:outlineLvl w:val="1"/>
      </w:pPr>
      <w:r>
        <w:rPr>
          <w:rFonts w:hint="eastAsia"/>
          <w:b/>
          <w:spacing w:val="20"/>
          <w:sz w:val="32"/>
          <w:szCs w:val="32"/>
        </w:rPr>
        <w:t xml:space="preserve">七、基本服务承诺书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43"/>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219"/>
      </w:p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八、法人授权书（实质性格式）</w:t>
      </w:r>
      <w:r/>
    </w:p>
    <w:p>
      <w:pPr>
        <w:pStyle w:val="1043"/>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299" w:name="_Hlk82432533"/>
      <w:r>
        <w:rPr>
          <w:rFonts w:hint="eastAsia" w:ascii="宋体" w:hAnsi="宋体"/>
          <w:sz w:val="24"/>
        </w:rPr>
        <w:t xml:space="preserve">代理人作出</w:t>
      </w:r>
      <w:bookmarkStart w:id="300" w:name="_Hlk89243734"/>
      <w:r>
        <w:rPr>
          <w:rFonts w:hint="eastAsia" w:ascii="宋体" w:hAnsi="宋体"/>
          <w:sz w:val="24"/>
        </w:rPr>
        <w:t xml:space="preserve">任何我单位放弃权利或承担义务的意思表示</w:t>
      </w:r>
      <w:bookmarkEnd w:id="300"/>
      <w:r>
        <w:rPr>
          <w:rFonts w:hint="eastAsia" w:ascii="宋体" w:hAnsi="宋体"/>
          <w:sz w:val="24"/>
        </w:rPr>
        <w:t xml:space="preserve">，</w:t>
      </w:r>
      <w:bookmarkStart w:id="301" w:name="_Hlk89243746"/>
      <w:r>
        <w:rPr>
          <w:rFonts w:hint="eastAsia" w:ascii="宋体" w:hAnsi="宋体"/>
          <w:sz w:val="24"/>
        </w:rPr>
        <w:t xml:space="preserve">应加盖我单位有效印章</w:t>
      </w:r>
      <w:bookmarkEnd w:id="301"/>
      <w:r>
        <w:rPr>
          <w:rFonts w:hint="eastAsia" w:ascii="宋体" w:hAnsi="宋体"/>
          <w:sz w:val="24"/>
        </w:rPr>
        <w:t xml:space="preserve">方对我单位具有约束力</w:t>
      </w:r>
      <w:bookmarkEnd w:id="299"/>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2" w:name="_格式3__银行出具的资信证明"/>
      <w:r/>
      <w:bookmarkStart w:id="303" w:name="_Hlt26671380"/>
      <w:r/>
      <w:bookmarkStart w:id="304" w:name="_Hlt26955070"/>
      <w:r/>
      <w:bookmarkEnd w:id="302"/>
      <w:r/>
      <w:bookmarkEnd w:id="303"/>
      <w:r/>
      <w:bookmarkEnd w:id="304"/>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12"/>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219"/>
      </w:pPr>
      <w:r/>
      <w:r/>
    </w:p>
    <w:p>
      <w:pPr>
        <w:jc w:val="center"/>
        <w:spacing w:line="400" w:lineRule="exact"/>
        <w:rPr>
          <w:b/>
          <w:spacing w:val="20"/>
          <w:sz w:val="32"/>
          <w:szCs w:val="32"/>
        </w:rPr>
        <w:outlineLvl w:val="1"/>
      </w:pPr>
      <w:r>
        <w:rPr>
          <w:rFonts w:hint="eastAsia"/>
          <w:b/>
          <w:spacing w:val="20"/>
          <w:sz w:val="32"/>
          <w:szCs w:val="32"/>
        </w:rPr>
        <w:t xml:space="preserve">十、政府采购供应商信用承诺书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09"/>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5"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5"/>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6"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6"/>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09"/>
        <w:rPr>
          <w:rFonts w:ascii="Times New Roman" w:hAnsi="Times New Roman"/>
          <w:sz w:val="20"/>
          <w:szCs w:val="20"/>
        </w:rPr>
      </w:pPr>
      <w:r>
        <w:rPr>
          <w:rFonts w:ascii="Times New Roman" w:hAnsi="Times New Roman"/>
          <w:sz w:val="20"/>
          <w:szCs w:val="20"/>
        </w:rPr>
      </w:r>
      <w:r/>
    </w:p>
    <w:p>
      <w:pPr>
        <w:pStyle w:val="1009"/>
        <w:rPr>
          <w:rFonts w:hint="eastAsia"/>
        </w:rPr>
      </w:pPr>
      <w:r>
        <w:rPr>
          <w:rFonts w:hint="eastAsia"/>
        </w:rPr>
      </w:r>
      <w:r/>
    </w:p>
    <w:p>
      <w:pPr>
        <w:pStyle w:val="1009"/>
        <w:rPr>
          <w:rFonts w:hint="eastAsia"/>
        </w:rPr>
      </w:pPr>
      <w:r>
        <w:rPr>
          <w:rFonts w:hint="eastAsia"/>
        </w:rPr>
      </w:r>
      <w:r/>
    </w:p>
    <w:p>
      <w:pPr>
        <w:jc w:val="center"/>
        <w:rPr>
          <w:b/>
          <w:spacing w:val="20"/>
          <w:sz w:val="32"/>
          <w:szCs w:val="32"/>
        </w:rPr>
      </w:pPr>
      <w:r>
        <w:rPr>
          <w:b/>
          <w:spacing w:val="20"/>
          <w:sz w:val="32"/>
          <w:szCs w:val="32"/>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十三、技术偏离表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219"/>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十四、合同条款偏离表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十五、采购需求偏离表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十六、其他格式材料</w:t>
      </w:r>
      <w:r/>
    </w:p>
    <w:p>
      <w:pPr>
        <w:pStyle w:val="1043"/>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bCs/>
          <w:color w:val="auto"/>
        </w:rPr>
      </w:pPr>
      <w:r>
        <w:rPr>
          <w:rFonts w:hint="eastAsia" w:ascii="宋体" w:hAnsi="宋体"/>
          <w:bCs/>
          <w:color w:val="auto"/>
        </w:rPr>
      </w:r>
      <w:r/>
    </w:p>
    <w:p>
      <w:pPr>
        <w:pStyle w:val="1043"/>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43"/>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43"/>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43"/>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219"/>
      </w:pPr>
      <w:r/>
      <w:r/>
    </w:p>
    <w:p>
      <w:pPr>
        <w:pStyle w:val="1043"/>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p>
      <w:pPr>
        <w:pStyle w:val="1043"/>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1038"/>
      </w:rPr>
      <w:framePr w:wrap="around" w:vAnchor="text" w:hAnchor="margin" w:xAlign="right" w:y="1"/>
    </w:pPr>
    <w:r/>
    <w:r/>
  </w:p>
  <w:p>
    <w:pPr>
      <w:pStyle w:val="854"/>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1038"/>
      </w:rPr>
      <w:framePr w:wrap="around" w:vAnchor="text" w:hAnchor="margin" w:xAlign="right" w:y="1"/>
    </w:pPr>
    <w:r>
      <w:rPr>
        <w:rStyle w:val="1038"/>
      </w:rPr>
      <w:fldChar w:fldCharType="begin"/>
    </w:r>
    <w:r>
      <w:rPr>
        <w:rStyle w:val="1038"/>
      </w:rPr>
      <w:instrText xml:space="preserve">PAGE  </w:instrText>
    </w:r>
    <w:r>
      <w:rPr>
        <w:rStyle w:val="1038"/>
      </w:rPr>
      <w:fldChar w:fldCharType="end"/>
    </w:r>
    <w:r/>
  </w:p>
  <w:p>
    <w:pPr>
      <w:pStyle w:val="854"/>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0"/>
      <w:isLgl w:val="false"/>
      <w:suff w:val="nothing"/>
      <w:lvlText w:val="%1.%2.%3.%4.%5.%6　"/>
      <w:lvlJc w:val="left"/>
      <w:pPr>
        <w:ind w:left="-25" w:firstLine="0"/>
      </w:pPr>
      <w:rPr>
        <w:rFonts w:ascii="Times New Roman" w:hAnsi="Times New Roman" w:eastAsia="宋体"/>
        <w:b/>
        <w:i w:val="0"/>
        <w:sz w:val="28"/>
      </w:rPr>
    </w:lvl>
    <w:lvl w:ilvl="6">
      <w:start w:val="1"/>
      <w:numFmt w:val="lowerLetter"/>
      <w:pStyle w:val="1123"/>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86"/>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04"/>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3">
    <w:multiLevelType w:val="hybridMultilevel"/>
    <w:lvl w:ilvl="0">
      <w:start w:val="1"/>
      <w:numFmt w:val="lowerLetter"/>
      <w:pStyle w:val="114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4">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72"/>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117"/>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7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170"/>
      <w:isLgl w:val="false"/>
      <w:suff w:val="tab"/>
      <w:lvlText w:val="%1"/>
      <w:lvlJc w:val="left"/>
      <w:pPr>
        <w:ind w:left="680" w:hanging="680"/>
      </w:pPr>
      <w:rPr>
        <w:rFonts w:hint="eastAsia" w:ascii="宋体" w:hAnsi="宋体" w:eastAsia="宋体"/>
      </w:rPr>
    </w:lvl>
    <w:lvl w:ilvl="1">
      <w:start w:val="1"/>
      <w:numFmt w:val="decimal"/>
      <w:pStyle w:val="1171"/>
      <w:isLgl w:val="false"/>
      <w:suff w:val="tab"/>
      <w:lvlText w:val="%1.%2"/>
      <w:lvlJc w:val="left"/>
      <w:pPr>
        <w:ind w:left="851" w:hanging="851"/>
      </w:pPr>
      <w:rPr>
        <w:rFonts w:hint="eastAsia" w:ascii="宋体" w:hAnsi="宋体" w:eastAsia="宋体"/>
        <w:color w:val="000000"/>
      </w:rPr>
    </w:lvl>
    <w:lvl w:ilvl="2">
      <w:start w:val="1"/>
      <w:numFmt w:val="decimal"/>
      <w:pStyle w:val="117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7"/>
  </w:num>
  <w:num w:numId="2">
    <w:abstractNumId w:val="15"/>
  </w:num>
  <w:num w:numId="3">
    <w:abstractNumId w:val="17"/>
  </w:num>
  <w:num w:numId="4">
    <w:abstractNumId w:val="12"/>
  </w:num>
  <w:num w:numId="5">
    <w:abstractNumId w:val="16"/>
  </w:num>
  <w:num w:numId="6">
    <w:abstractNumId w:val="13"/>
  </w:num>
  <w:num w:numId="7">
    <w:abstractNumId w:val="21"/>
  </w:num>
  <w:num w:numId="8">
    <w:abstractNumId w:val="10"/>
  </w:num>
  <w:num w:numId="9">
    <w:abstractNumId w:val="9"/>
  </w:num>
  <w:num w:numId="10">
    <w:abstractNumId w:val="14"/>
  </w:num>
  <w:num w:numId="11">
    <w:abstractNumId w:val="1"/>
  </w:num>
  <w:num w:numId="12">
    <w:abstractNumId w:val="3"/>
  </w:num>
  <w:num w:numId="13">
    <w:abstractNumId w:val="18"/>
  </w:num>
  <w:num w:numId="14">
    <w:abstractNumId w:val="11"/>
  </w:num>
  <w:num w:numId="15">
    <w:abstractNumId w:val="4"/>
  </w:num>
  <w:num w:numId="16">
    <w:abstractNumId w:val="6"/>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num>
  <w:num w:numId="19">
    <w:abstractNumId w:val="8"/>
    <w:lvlOverride w:ilvl="0">
      <w:startOverride w:val="1"/>
    </w:lvlOverride>
  </w:num>
  <w:num w:numId="20">
    <w:abstractNumId w:val="0"/>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Subtitle Char"/>
    <w:basedOn w:val="816"/>
    <w:link w:val="845"/>
    <w:uiPriority w:val="11"/>
    <w:rPr>
      <w:sz w:val="24"/>
      <w:szCs w:val="24"/>
    </w:rPr>
  </w:style>
  <w:style w:type="character" w:styleId="783">
    <w:name w:val="Quote Char"/>
    <w:link w:val="847"/>
    <w:uiPriority w:val="29"/>
    <w:rPr>
      <w:i/>
    </w:rPr>
  </w:style>
  <w:style w:type="character" w:styleId="784">
    <w:name w:val="Intense Quote Char"/>
    <w:link w:val="849"/>
    <w:uiPriority w:val="30"/>
    <w:rPr>
      <w:i/>
    </w:rPr>
  </w:style>
  <w:style w:type="table" w:styleId="785">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4">
    <w:name w:val="Footnote Text Char"/>
    <w:link w:val="986"/>
    <w:uiPriority w:val="99"/>
    <w:rPr>
      <w:sz w:val="18"/>
    </w:rPr>
  </w:style>
  <w:style w:type="character" w:styleId="805">
    <w:name w:val="Endnote Text Char"/>
    <w:link w:val="989"/>
    <w:uiPriority w:val="99"/>
    <w:rPr>
      <w:sz w:val="20"/>
    </w:rPr>
  </w:style>
  <w:style w:type="paragraph" w:styleId="806" w:default="1">
    <w:name w:val="Normal"/>
    <w:qFormat/>
    <w:pPr>
      <w:jc w:val="both"/>
      <w:widowControl w:val="off"/>
    </w:pPr>
    <w:rPr>
      <w:sz w:val="21"/>
      <w:szCs w:val="24"/>
    </w:rPr>
  </w:style>
  <w:style w:type="paragraph" w:styleId="807">
    <w:name w:val="Heading 1"/>
    <w:basedOn w:val="806"/>
    <w:next w:val="806"/>
    <w:link w:val="819"/>
    <w:uiPriority w:val="99"/>
    <w:qFormat/>
    <w:pPr>
      <w:jc w:val="center"/>
      <w:keepLines/>
      <w:keepNext/>
      <w:spacing w:before="240" w:after="120" w:line="300" w:lineRule="auto"/>
      <w:outlineLvl w:val="0"/>
    </w:pPr>
    <w:rPr>
      <w:rFonts w:ascii="宋体"/>
      <w:b/>
      <w:sz w:val="32"/>
      <w:szCs w:val="20"/>
    </w:rPr>
  </w:style>
  <w:style w:type="paragraph" w:styleId="808">
    <w:name w:val="Heading 2"/>
    <w:basedOn w:val="806"/>
    <w:next w:val="820"/>
    <w:link w:val="822"/>
    <w:uiPriority w:val="99"/>
    <w:qFormat/>
    <w:pPr>
      <w:jc w:val="center"/>
      <w:keepLines/>
      <w:keepNext/>
      <w:spacing w:before="120" w:line="300" w:lineRule="auto"/>
      <w:outlineLvl w:val="1"/>
    </w:pPr>
    <w:rPr>
      <w:rFonts w:ascii="Arial" w:hAnsi="Arial" w:eastAsia="黑体"/>
      <w:b/>
      <w:sz w:val="30"/>
      <w:szCs w:val="20"/>
    </w:rPr>
  </w:style>
  <w:style w:type="paragraph" w:styleId="809">
    <w:name w:val="Heading 3"/>
    <w:basedOn w:val="806"/>
    <w:next w:val="806"/>
    <w:link w:val="823"/>
    <w:uiPriority w:val="99"/>
    <w:qFormat/>
    <w:pPr>
      <w:jc w:val="left"/>
      <w:keepLines/>
      <w:keepNext/>
      <w:spacing w:before="360" w:after="120"/>
      <w:outlineLvl w:val="2"/>
    </w:pPr>
    <w:rPr>
      <w:rFonts w:ascii="宋体"/>
      <w:b/>
      <w:sz w:val="24"/>
      <w:szCs w:val="20"/>
      <w:u w:val="single"/>
    </w:rPr>
  </w:style>
  <w:style w:type="paragraph" w:styleId="810">
    <w:name w:val="Heading 4"/>
    <w:basedOn w:val="806"/>
    <w:next w:val="806"/>
    <w:link w:val="824"/>
    <w:qFormat/>
    <w:pPr>
      <w:keepLines/>
      <w:keepNext/>
      <w:spacing w:before="280" w:after="290" w:line="376" w:lineRule="atLeast"/>
      <w:outlineLvl w:val="3"/>
    </w:pPr>
    <w:rPr>
      <w:rFonts w:ascii="Arial" w:hAnsi="Arial" w:eastAsia="黑体"/>
      <w:b/>
      <w:sz w:val="28"/>
      <w:szCs w:val="20"/>
    </w:rPr>
  </w:style>
  <w:style w:type="paragraph" w:styleId="811">
    <w:name w:val="Heading 5"/>
    <w:basedOn w:val="806"/>
    <w:next w:val="806"/>
    <w:link w:val="825"/>
    <w:qFormat/>
    <w:pPr>
      <w:keepLines/>
      <w:keepNext/>
      <w:spacing w:before="280" w:after="290" w:line="376" w:lineRule="atLeast"/>
      <w:outlineLvl w:val="4"/>
    </w:pPr>
    <w:rPr>
      <w:b/>
      <w:sz w:val="28"/>
      <w:szCs w:val="20"/>
    </w:rPr>
  </w:style>
  <w:style w:type="paragraph" w:styleId="812">
    <w:name w:val="Heading 6"/>
    <w:basedOn w:val="806"/>
    <w:next w:val="806"/>
    <w:link w:val="826"/>
    <w:qFormat/>
    <w:pPr>
      <w:keepLines/>
      <w:keepNext/>
      <w:spacing w:before="240" w:after="64" w:line="320" w:lineRule="atLeast"/>
      <w:outlineLvl w:val="5"/>
    </w:pPr>
    <w:rPr>
      <w:rFonts w:ascii="Arial" w:hAnsi="Arial" w:eastAsia="黑体"/>
      <w:b/>
      <w:sz w:val="24"/>
      <w:szCs w:val="20"/>
    </w:rPr>
  </w:style>
  <w:style w:type="paragraph" w:styleId="813">
    <w:name w:val="Heading 7"/>
    <w:basedOn w:val="806"/>
    <w:next w:val="806"/>
    <w:link w:val="827"/>
    <w:qFormat/>
    <w:pPr>
      <w:keepLines/>
      <w:keepNext/>
      <w:spacing w:before="240" w:after="64" w:line="320" w:lineRule="atLeast"/>
      <w:outlineLvl w:val="6"/>
    </w:pPr>
    <w:rPr>
      <w:b/>
      <w:sz w:val="24"/>
      <w:szCs w:val="20"/>
    </w:rPr>
  </w:style>
  <w:style w:type="paragraph" w:styleId="814">
    <w:name w:val="Heading 8"/>
    <w:basedOn w:val="806"/>
    <w:next w:val="806"/>
    <w:link w:val="828"/>
    <w:qFormat/>
    <w:pPr>
      <w:keepLines/>
      <w:keepNext/>
      <w:spacing w:before="240" w:after="64" w:line="320" w:lineRule="atLeast"/>
      <w:outlineLvl w:val="7"/>
    </w:pPr>
    <w:rPr>
      <w:rFonts w:ascii="Arial" w:hAnsi="Arial" w:eastAsia="黑体"/>
      <w:sz w:val="24"/>
      <w:szCs w:val="20"/>
    </w:rPr>
  </w:style>
  <w:style w:type="paragraph" w:styleId="815">
    <w:name w:val="Heading 9"/>
    <w:basedOn w:val="806"/>
    <w:next w:val="806"/>
    <w:link w:val="829"/>
    <w:qFormat/>
    <w:pPr>
      <w:keepLines/>
      <w:keepNext/>
      <w:spacing w:before="240" w:after="64" w:line="320" w:lineRule="atLeast"/>
      <w:outlineLvl w:val="8"/>
    </w:pPr>
    <w:rPr>
      <w:rFonts w:ascii="Arial" w:hAnsi="Arial" w:eastAsia="黑体"/>
      <w:szCs w:val="20"/>
    </w:rPr>
  </w:style>
  <w:style w:type="character" w:styleId="816" w:default="1">
    <w:name w:val="Default Paragraph Font"/>
    <w:uiPriority w:val="1"/>
    <w:unhideWhenUsed/>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character" w:styleId="819" w:customStyle="1">
    <w:name w:val="标题 1 字符"/>
    <w:link w:val="807"/>
    <w:uiPriority w:val="99"/>
    <w:qFormat/>
    <w:rPr>
      <w:rFonts w:ascii="宋体"/>
      <w:b/>
      <w:sz w:val="32"/>
    </w:rPr>
  </w:style>
  <w:style w:type="paragraph" w:styleId="820">
    <w:name w:val="Normal Indent"/>
    <w:basedOn w:val="806"/>
    <w:link w:val="821"/>
    <w:uiPriority w:val="99"/>
    <w:qFormat/>
    <w:pPr>
      <w:ind w:firstLine="420"/>
      <w:jc w:val="left"/>
    </w:pPr>
    <w:rPr>
      <w:rFonts w:ascii="宋体"/>
      <w:sz w:val="24"/>
    </w:rPr>
  </w:style>
  <w:style w:type="character" w:styleId="821" w:customStyle="1">
    <w:name w:val="正文缩进 字符"/>
    <w:link w:val="820"/>
    <w:qFormat/>
    <w:rPr>
      <w:rFonts w:ascii="宋体" w:eastAsia="宋体"/>
      <w:sz w:val="24"/>
      <w:szCs w:val="24"/>
      <w:lang w:val="en-US" w:eastAsia="zh-CN" w:bidi="ar-SA"/>
    </w:rPr>
  </w:style>
  <w:style w:type="character" w:styleId="822" w:customStyle="1">
    <w:name w:val="标题 2 字符"/>
    <w:link w:val="808"/>
    <w:qFormat/>
    <w:rPr>
      <w:rFonts w:ascii="Arial" w:hAnsi="Arial" w:eastAsia="黑体"/>
      <w:b/>
      <w:sz w:val="30"/>
      <w:lang w:val="en-US" w:eastAsia="zh-CN" w:bidi="ar-SA"/>
    </w:rPr>
  </w:style>
  <w:style w:type="character" w:styleId="823" w:customStyle="1">
    <w:name w:val="标题 3 字符"/>
    <w:link w:val="809"/>
    <w:uiPriority w:val="99"/>
    <w:qFormat/>
    <w:rPr>
      <w:rFonts w:ascii="宋体" w:eastAsia="宋体"/>
      <w:b/>
      <w:sz w:val="24"/>
      <w:u w:val="single"/>
      <w:lang w:val="en-US" w:eastAsia="zh-CN" w:bidi="ar-SA"/>
    </w:rPr>
  </w:style>
  <w:style w:type="character" w:styleId="824" w:customStyle="1">
    <w:name w:val="标题 4 字符"/>
    <w:link w:val="810"/>
    <w:qFormat/>
    <w:rPr>
      <w:rFonts w:ascii="Arial" w:hAnsi="Arial" w:eastAsia="黑体"/>
      <w:b/>
      <w:sz w:val="28"/>
    </w:rPr>
  </w:style>
  <w:style w:type="character" w:styleId="825" w:customStyle="1">
    <w:name w:val="标题 5 字符"/>
    <w:link w:val="811"/>
    <w:qFormat/>
    <w:rPr>
      <w:b/>
      <w:sz w:val="28"/>
    </w:rPr>
  </w:style>
  <w:style w:type="character" w:styleId="826" w:customStyle="1">
    <w:name w:val="标题 6 字符"/>
    <w:link w:val="812"/>
    <w:qFormat/>
    <w:rPr>
      <w:rFonts w:ascii="Arial" w:hAnsi="Arial" w:eastAsia="黑体"/>
      <w:b/>
      <w:sz w:val="24"/>
    </w:rPr>
  </w:style>
  <w:style w:type="character" w:styleId="827" w:customStyle="1">
    <w:name w:val="标题 7 字符"/>
    <w:link w:val="813"/>
    <w:qFormat/>
    <w:rPr>
      <w:b/>
      <w:sz w:val="24"/>
    </w:rPr>
  </w:style>
  <w:style w:type="character" w:styleId="828" w:customStyle="1">
    <w:name w:val="标题 8 字符"/>
    <w:link w:val="814"/>
    <w:qFormat/>
    <w:rPr>
      <w:rFonts w:ascii="Arial" w:hAnsi="Arial" w:eastAsia="黑体"/>
      <w:sz w:val="24"/>
    </w:rPr>
  </w:style>
  <w:style w:type="character" w:styleId="829" w:customStyle="1">
    <w:name w:val="标题 9 字符"/>
    <w:link w:val="815"/>
    <w:qFormat/>
    <w:rPr>
      <w:rFonts w:ascii="Arial" w:hAnsi="Arial" w:eastAsia="黑体"/>
      <w:sz w:val="21"/>
    </w:rPr>
  </w:style>
  <w:style w:type="character" w:styleId="830" w:customStyle="1">
    <w:name w:val="Heading 1 Char"/>
    <w:uiPriority w:val="9"/>
    <w:rPr>
      <w:rFonts w:ascii="Arial" w:hAnsi="Arial" w:eastAsia="Arial" w:cs="Arial"/>
      <w:sz w:val="40"/>
      <w:szCs w:val="40"/>
    </w:rPr>
  </w:style>
  <w:style w:type="character" w:styleId="831" w:customStyle="1">
    <w:name w:val="Heading 2 Char"/>
    <w:uiPriority w:val="9"/>
    <w:rPr>
      <w:rFonts w:ascii="Arial" w:hAnsi="Arial" w:eastAsia="Arial" w:cs="Arial"/>
      <w:sz w:val="34"/>
    </w:rPr>
  </w:style>
  <w:style w:type="character" w:styleId="832" w:customStyle="1">
    <w:name w:val="Heading 3 Char"/>
    <w:uiPriority w:val="9"/>
    <w:rPr>
      <w:rFonts w:ascii="Arial" w:hAnsi="Arial" w:eastAsia="Arial" w:cs="Arial"/>
      <w:sz w:val="30"/>
      <w:szCs w:val="30"/>
    </w:rPr>
  </w:style>
  <w:style w:type="character" w:styleId="833" w:customStyle="1">
    <w:name w:val="Heading 4 Char"/>
    <w:uiPriority w:val="9"/>
    <w:rPr>
      <w:rFonts w:ascii="Arial" w:hAnsi="Arial" w:eastAsia="Arial" w:cs="Arial"/>
      <w:b/>
      <w:bCs/>
      <w:sz w:val="26"/>
      <w:szCs w:val="26"/>
    </w:rPr>
  </w:style>
  <w:style w:type="character" w:styleId="834" w:customStyle="1">
    <w:name w:val="Heading 5 Char"/>
    <w:uiPriority w:val="9"/>
    <w:rPr>
      <w:rFonts w:ascii="Arial" w:hAnsi="Arial" w:eastAsia="Arial" w:cs="Arial"/>
      <w:b/>
      <w:bCs/>
      <w:sz w:val="24"/>
      <w:szCs w:val="24"/>
    </w:rPr>
  </w:style>
  <w:style w:type="character" w:styleId="835" w:customStyle="1">
    <w:name w:val="Heading 6 Char"/>
    <w:uiPriority w:val="9"/>
    <w:rPr>
      <w:rFonts w:ascii="Arial" w:hAnsi="Arial" w:eastAsia="Arial" w:cs="Arial"/>
      <w:b/>
      <w:bCs/>
      <w:sz w:val="22"/>
      <w:szCs w:val="22"/>
    </w:rPr>
  </w:style>
  <w:style w:type="character" w:styleId="836" w:customStyle="1">
    <w:name w:val="Heading 7 Char"/>
    <w:uiPriority w:val="9"/>
    <w:rPr>
      <w:rFonts w:ascii="Arial" w:hAnsi="Arial" w:eastAsia="Arial" w:cs="Arial"/>
      <w:b/>
      <w:bCs/>
      <w:i/>
      <w:iCs/>
      <w:sz w:val="22"/>
      <w:szCs w:val="22"/>
    </w:rPr>
  </w:style>
  <w:style w:type="character" w:styleId="837" w:customStyle="1">
    <w:name w:val="Heading 8 Char"/>
    <w:uiPriority w:val="9"/>
    <w:rPr>
      <w:rFonts w:ascii="Arial" w:hAnsi="Arial" w:eastAsia="Arial" w:cs="Arial"/>
      <w:i/>
      <w:iCs/>
      <w:sz w:val="22"/>
      <w:szCs w:val="22"/>
    </w:rPr>
  </w:style>
  <w:style w:type="character" w:styleId="838" w:customStyle="1">
    <w:name w:val="Heading 9 Char"/>
    <w:uiPriority w:val="9"/>
    <w:rPr>
      <w:rFonts w:ascii="Arial" w:hAnsi="Arial" w:eastAsia="Arial" w:cs="Arial"/>
      <w:i/>
      <w:iCs/>
      <w:sz w:val="21"/>
      <w:szCs w:val="21"/>
    </w:rPr>
  </w:style>
  <w:style w:type="paragraph" w:styleId="839">
    <w:name w:val="List Paragraph"/>
    <w:basedOn w:val="806"/>
    <w:link w:val="840"/>
    <w:uiPriority w:val="34"/>
    <w:qFormat/>
    <w:pPr>
      <w:ind w:firstLine="420"/>
    </w:pPr>
    <w:rPr>
      <w:rFonts w:ascii="Calibri" w:hAnsi="Calibri"/>
      <w:szCs w:val="22"/>
    </w:rPr>
  </w:style>
  <w:style w:type="character" w:styleId="840" w:customStyle="1">
    <w:name w:val="列表段落 字符1"/>
    <w:link w:val="839"/>
    <w:uiPriority w:val="34"/>
    <w:qFormat/>
    <w:rPr>
      <w:rFonts w:ascii="Calibri" w:hAnsi="Calibri" w:eastAsia="宋体"/>
      <w:sz w:val="21"/>
      <w:szCs w:val="22"/>
      <w:lang w:val="en-US" w:eastAsia="zh-CN" w:bidi="ar-SA"/>
    </w:rPr>
  </w:style>
  <w:style w:type="paragraph" w:styleId="841">
    <w:name w:val="No Spacing"/>
    <w:qFormat/>
    <w:pPr>
      <w:jc w:val="both"/>
      <w:widowControl w:val="off"/>
    </w:pPr>
    <w:rPr>
      <w:sz w:val="21"/>
      <w:szCs w:val="24"/>
    </w:rPr>
  </w:style>
  <w:style w:type="paragraph" w:styleId="842">
    <w:name w:val="Title"/>
    <w:basedOn w:val="806"/>
    <w:link w:val="843"/>
    <w:qFormat/>
    <w:pPr>
      <w:jc w:val="center"/>
      <w:outlineLvl w:val="0"/>
    </w:pPr>
    <w:rPr>
      <w:b/>
      <w:sz w:val="32"/>
      <w:szCs w:val="20"/>
    </w:rPr>
  </w:style>
  <w:style w:type="character" w:styleId="843" w:customStyle="1">
    <w:name w:val="标题 字符"/>
    <w:link w:val="842"/>
    <w:qFormat/>
    <w:rPr>
      <w:b/>
      <w:sz w:val="32"/>
    </w:rPr>
  </w:style>
  <w:style w:type="character" w:styleId="844" w:customStyle="1">
    <w:name w:val="Title Char"/>
    <w:uiPriority w:val="10"/>
    <w:rPr>
      <w:sz w:val="48"/>
      <w:szCs w:val="48"/>
    </w:rPr>
  </w:style>
  <w:style w:type="paragraph" w:styleId="845">
    <w:name w:val="Subtitle"/>
    <w:basedOn w:val="806"/>
    <w:next w:val="806"/>
    <w:link w:val="846"/>
    <w:uiPriority w:val="11"/>
    <w:qFormat/>
    <w:pPr>
      <w:spacing w:before="200" w:after="200"/>
    </w:pPr>
    <w:rPr>
      <w:sz w:val="24"/>
    </w:rPr>
  </w:style>
  <w:style w:type="character" w:styleId="846" w:customStyle="1">
    <w:name w:val="副标题 字符"/>
    <w:link w:val="845"/>
    <w:uiPriority w:val="11"/>
    <w:rPr>
      <w:sz w:val="24"/>
      <w:szCs w:val="24"/>
    </w:rPr>
  </w:style>
  <w:style w:type="paragraph" w:styleId="847">
    <w:name w:val="Quote"/>
    <w:basedOn w:val="806"/>
    <w:next w:val="806"/>
    <w:link w:val="848"/>
    <w:uiPriority w:val="29"/>
    <w:qFormat/>
    <w:pPr>
      <w:ind w:left="720" w:right="720"/>
    </w:pPr>
    <w:rPr>
      <w:i/>
    </w:rPr>
  </w:style>
  <w:style w:type="character" w:styleId="848" w:customStyle="1">
    <w:name w:val="引用 字符"/>
    <w:link w:val="847"/>
    <w:uiPriority w:val="29"/>
    <w:rPr>
      <w:i/>
    </w:rPr>
  </w:style>
  <w:style w:type="paragraph" w:styleId="849">
    <w:name w:val="Intense Quote"/>
    <w:basedOn w:val="806"/>
    <w:next w:val="806"/>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rPr>
      <w:i/>
    </w:rPr>
  </w:style>
  <w:style w:type="paragraph" w:styleId="851">
    <w:name w:val="Header"/>
    <w:basedOn w:val="806"/>
    <w:link w:val="852"/>
    <w:uiPriority w:val="99"/>
    <w:qFormat/>
    <w:pPr>
      <w:jc w:val="center"/>
      <w:tabs>
        <w:tab w:val="center" w:pos="4153" w:leader="none"/>
        <w:tab w:val="right" w:pos="8306" w:leader="none"/>
      </w:tabs>
      <w:pBdr>
        <w:bottom w:val="single" w:color="000000" w:sz="6" w:space="1"/>
      </w:pBdr>
    </w:pPr>
    <w:rPr>
      <w:sz w:val="18"/>
      <w:szCs w:val="18"/>
    </w:rPr>
  </w:style>
  <w:style w:type="character" w:styleId="852" w:customStyle="1">
    <w:name w:val="页眉 字符"/>
    <w:link w:val="851"/>
    <w:qFormat/>
    <w:rPr>
      <w:rFonts w:eastAsia="宋体"/>
      <w:sz w:val="18"/>
      <w:szCs w:val="18"/>
      <w:lang w:val="en-US" w:eastAsia="zh-CN" w:bidi="ar-SA"/>
    </w:rPr>
  </w:style>
  <w:style w:type="character" w:styleId="853" w:customStyle="1">
    <w:name w:val="Header Char"/>
    <w:uiPriority w:val="99"/>
  </w:style>
  <w:style w:type="paragraph" w:styleId="854">
    <w:name w:val="Footer"/>
    <w:basedOn w:val="806"/>
    <w:link w:val="855"/>
    <w:uiPriority w:val="99"/>
    <w:qFormat/>
    <w:pPr>
      <w:jc w:val="left"/>
      <w:tabs>
        <w:tab w:val="center" w:pos="4153" w:leader="none"/>
        <w:tab w:val="right" w:pos="8306" w:leader="none"/>
      </w:tabs>
    </w:pPr>
    <w:rPr>
      <w:rFonts w:ascii="宋体"/>
      <w:sz w:val="18"/>
      <w:szCs w:val="20"/>
    </w:rPr>
  </w:style>
  <w:style w:type="character" w:styleId="855" w:customStyle="1">
    <w:name w:val="页脚 字符"/>
    <w:link w:val="854"/>
    <w:uiPriority w:val="99"/>
    <w:qFormat/>
    <w:rPr>
      <w:rFonts w:ascii="宋体" w:eastAsia="宋体"/>
      <w:sz w:val="18"/>
      <w:lang w:val="en-US" w:eastAsia="zh-CN" w:bidi="ar-SA"/>
    </w:rPr>
  </w:style>
  <w:style w:type="character" w:styleId="856" w:customStyle="1">
    <w:name w:val="Footer Char"/>
    <w:uiPriority w:val="99"/>
  </w:style>
  <w:style w:type="paragraph" w:styleId="857">
    <w:name w:val="Caption"/>
    <w:basedOn w:val="806"/>
    <w:next w:val="806"/>
    <w:qFormat/>
    <w:pPr>
      <w:spacing w:line="480" w:lineRule="auto"/>
    </w:pPr>
    <w:rPr>
      <w:rFonts w:ascii="华文中宋" w:hAnsi="华文中宋" w:eastAsia="华文中宋"/>
      <w:sz w:val="36"/>
      <w:szCs w:val="20"/>
    </w:rPr>
  </w:style>
  <w:style w:type="character" w:styleId="858" w:customStyle="1">
    <w:name w:val="Caption Char"/>
    <w:uiPriority w:val="99"/>
  </w:style>
  <w:style w:type="table" w:styleId="859">
    <w:name w:val="Table Grid"/>
    <w:basedOn w:val="817"/>
    <w:uiPriority w:val="39"/>
    <w:qFormat/>
    <w:tblPr/>
  </w:style>
  <w:style w:type="table" w:styleId="860"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1"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9"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0"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1"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2"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3"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4"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5"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6"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7"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8"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09"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10"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11"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12"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13"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14"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15"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3"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5"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2"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3"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4"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5"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6"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7"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8"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9"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0"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1"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52"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3"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4"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5"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6"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7"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58"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59"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60"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61"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62"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63"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64"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2"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3"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4"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5"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9"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1"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2"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name w:val="Hyperlink"/>
    <w:uiPriority w:val="99"/>
    <w:qFormat/>
    <w:rPr>
      <w:color w:val="333333"/>
      <w:u w:val="none"/>
    </w:rPr>
  </w:style>
  <w:style w:type="paragraph" w:styleId="986">
    <w:name w:val="footnote text"/>
    <w:basedOn w:val="806"/>
    <w:link w:val="987"/>
    <w:uiPriority w:val="99"/>
    <w:semiHidden/>
    <w:unhideWhenUsed/>
    <w:pPr>
      <w:spacing w:after="40"/>
    </w:pPr>
    <w:rPr>
      <w:sz w:val="18"/>
    </w:rPr>
  </w:style>
  <w:style w:type="character" w:styleId="987" w:customStyle="1">
    <w:name w:val="脚注文本 字符"/>
    <w:link w:val="986"/>
    <w:uiPriority w:val="99"/>
    <w:rPr>
      <w:sz w:val="18"/>
    </w:rPr>
  </w:style>
  <w:style w:type="character" w:styleId="988">
    <w:name w:val="footnote reference"/>
    <w:uiPriority w:val="99"/>
    <w:unhideWhenUsed/>
    <w:rPr>
      <w:vertAlign w:val="superscript"/>
    </w:rPr>
  </w:style>
  <w:style w:type="paragraph" w:styleId="989">
    <w:name w:val="endnote text"/>
    <w:basedOn w:val="806"/>
    <w:link w:val="990"/>
    <w:uiPriority w:val="99"/>
    <w:semiHidden/>
    <w:unhideWhenUsed/>
    <w:rPr>
      <w:sz w:val="20"/>
    </w:rPr>
  </w:style>
  <w:style w:type="character" w:styleId="990" w:customStyle="1">
    <w:name w:val="尾注文本 字符"/>
    <w:link w:val="989"/>
    <w:uiPriority w:val="99"/>
    <w:rPr>
      <w:sz w:val="20"/>
    </w:rPr>
  </w:style>
  <w:style w:type="character" w:styleId="991">
    <w:name w:val="endnote reference"/>
    <w:uiPriority w:val="99"/>
    <w:semiHidden/>
    <w:unhideWhenUsed/>
    <w:rPr>
      <w:vertAlign w:val="superscript"/>
    </w:rPr>
  </w:style>
  <w:style w:type="paragraph" w:styleId="992">
    <w:name w:val="toc 1"/>
    <w:basedOn w:val="806"/>
    <w:next w:val="806"/>
    <w:uiPriority w:val="99"/>
    <w:qFormat/>
    <w:pPr>
      <w:spacing w:line="300" w:lineRule="auto"/>
      <w:tabs>
        <w:tab w:val="left" w:pos="1050" w:leader="none"/>
        <w:tab w:val="right" w:pos="8937" w:leader="dot"/>
      </w:tabs>
    </w:pPr>
    <w:rPr>
      <w:rFonts w:ascii="宋体" w:hAnsi="宋体"/>
      <w:b/>
      <w:sz w:val="24"/>
    </w:rPr>
  </w:style>
  <w:style w:type="paragraph" w:styleId="993">
    <w:name w:val="toc 2"/>
    <w:basedOn w:val="806"/>
    <w:next w:val="806"/>
    <w:uiPriority w:val="99"/>
    <w:qFormat/>
    <w:pPr>
      <w:ind w:left="420"/>
      <w:spacing w:line="312" w:lineRule="auto"/>
      <w:tabs>
        <w:tab w:val="right" w:pos="8937" w:leader="dot"/>
      </w:tabs>
    </w:pPr>
  </w:style>
  <w:style w:type="paragraph" w:styleId="994">
    <w:name w:val="toc 3"/>
    <w:basedOn w:val="806"/>
    <w:next w:val="806"/>
    <w:uiPriority w:val="99"/>
    <w:qFormat/>
    <w:pPr>
      <w:ind w:left="840"/>
    </w:pPr>
  </w:style>
  <w:style w:type="paragraph" w:styleId="995">
    <w:name w:val="toc 4"/>
    <w:basedOn w:val="806"/>
    <w:next w:val="806"/>
    <w:uiPriority w:val="99"/>
    <w:qFormat/>
    <w:pPr>
      <w:ind w:left="1260"/>
    </w:pPr>
  </w:style>
  <w:style w:type="paragraph" w:styleId="996">
    <w:name w:val="toc 5"/>
    <w:basedOn w:val="806"/>
    <w:next w:val="806"/>
    <w:uiPriority w:val="99"/>
    <w:qFormat/>
    <w:pPr>
      <w:ind w:left="1680"/>
    </w:pPr>
  </w:style>
  <w:style w:type="paragraph" w:styleId="997">
    <w:name w:val="toc 6"/>
    <w:basedOn w:val="806"/>
    <w:next w:val="806"/>
    <w:uiPriority w:val="99"/>
    <w:qFormat/>
    <w:pPr>
      <w:ind w:left="2100"/>
    </w:pPr>
  </w:style>
  <w:style w:type="paragraph" w:styleId="998">
    <w:name w:val="toc 7"/>
    <w:basedOn w:val="806"/>
    <w:next w:val="806"/>
    <w:uiPriority w:val="99"/>
    <w:qFormat/>
    <w:pPr>
      <w:ind w:left="2520"/>
    </w:pPr>
  </w:style>
  <w:style w:type="paragraph" w:styleId="999">
    <w:name w:val="toc 8"/>
    <w:basedOn w:val="806"/>
    <w:next w:val="806"/>
    <w:uiPriority w:val="99"/>
    <w:qFormat/>
    <w:pPr>
      <w:ind w:left="2940"/>
    </w:pPr>
  </w:style>
  <w:style w:type="paragraph" w:styleId="1000">
    <w:name w:val="toc 9"/>
    <w:basedOn w:val="806"/>
    <w:next w:val="806"/>
    <w:uiPriority w:val="99"/>
    <w:qFormat/>
    <w:pPr>
      <w:ind w:left="3360"/>
    </w:pPr>
  </w:style>
  <w:style w:type="paragraph" w:styleId="1001">
    <w:name w:val="TOC Heading"/>
    <w:uiPriority w:val="39"/>
    <w:unhideWhenUsed/>
  </w:style>
  <w:style w:type="paragraph" w:styleId="1002">
    <w:name w:val="table of figures"/>
    <w:basedOn w:val="806"/>
    <w:next w:val="806"/>
    <w:uiPriority w:val="99"/>
    <w:unhideWhenUsed/>
  </w:style>
  <w:style w:type="paragraph" w:styleId="1003">
    <w:name w:val="Document Map"/>
    <w:basedOn w:val="806"/>
    <w:link w:val="1004"/>
    <w:qFormat/>
    <w:pPr>
      <w:shd w:val="clear" w:color="auto" w:fill="000080"/>
    </w:pPr>
  </w:style>
  <w:style w:type="character" w:styleId="1004" w:customStyle="1">
    <w:name w:val="文档结构图 字符"/>
    <w:link w:val="1003"/>
    <w:qFormat/>
    <w:rPr>
      <w:sz w:val="21"/>
      <w:szCs w:val="24"/>
      <w:shd w:val="clear" w:color="auto" w:fill="000080"/>
    </w:rPr>
  </w:style>
  <w:style w:type="paragraph" w:styleId="1005">
    <w:name w:val="annotation text"/>
    <w:basedOn w:val="806"/>
    <w:link w:val="1006"/>
    <w:uiPriority w:val="99"/>
    <w:qFormat/>
    <w:pPr>
      <w:jc w:val="left"/>
    </w:pPr>
  </w:style>
  <w:style w:type="character" w:styleId="1006" w:customStyle="1">
    <w:name w:val="批注文字 字符2"/>
    <w:link w:val="1005"/>
    <w:uiPriority w:val="99"/>
    <w:qFormat/>
    <w:rPr>
      <w:sz w:val="21"/>
      <w:szCs w:val="24"/>
    </w:rPr>
  </w:style>
  <w:style w:type="paragraph" w:styleId="1007">
    <w:name w:val="Body Text 3"/>
    <w:basedOn w:val="806"/>
    <w:link w:val="1008"/>
    <w:qFormat/>
    <w:pPr>
      <w:spacing w:after="120"/>
    </w:pPr>
    <w:rPr>
      <w:sz w:val="16"/>
      <w:szCs w:val="16"/>
    </w:rPr>
  </w:style>
  <w:style w:type="character" w:styleId="1008" w:customStyle="1">
    <w:name w:val="正文文本 3 字符"/>
    <w:link w:val="1007"/>
    <w:qFormat/>
    <w:rPr>
      <w:sz w:val="16"/>
      <w:szCs w:val="16"/>
    </w:rPr>
  </w:style>
  <w:style w:type="paragraph" w:styleId="1009">
    <w:name w:val="Body Text"/>
    <w:basedOn w:val="806"/>
    <w:link w:val="1010"/>
    <w:qFormat/>
    <w:pPr>
      <w:spacing w:before="120" w:line="22" w:lineRule="atLeast"/>
      <w:tabs>
        <w:tab w:val="left" w:pos="567" w:leader="none"/>
      </w:tabs>
    </w:pPr>
    <w:rPr>
      <w:rFonts w:ascii="宋体" w:hAnsi="宋体"/>
      <w:sz w:val="24"/>
    </w:rPr>
  </w:style>
  <w:style w:type="character" w:styleId="1010" w:customStyle="1">
    <w:name w:val="正文文本 字符"/>
    <w:link w:val="1009"/>
    <w:qFormat/>
    <w:rPr>
      <w:rFonts w:ascii="宋体" w:hAnsi="宋体"/>
      <w:sz w:val="24"/>
      <w:szCs w:val="24"/>
    </w:rPr>
  </w:style>
  <w:style w:type="paragraph" w:styleId="1011">
    <w:name w:val="Body Text Indent"/>
    <w:basedOn w:val="806"/>
    <w:link w:val="1012"/>
    <w:qFormat/>
    <w:pPr>
      <w:ind w:firstLine="570"/>
      <w:spacing w:line="360" w:lineRule="auto"/>
    </w:pPr>
    <w:rPr>
      <w:sz w:val="24"/>
    </w:rPr>
  </w:style>
  <w:style w:type="character" w:styleId="1012" w:customStyle="1">
    <w:name w:val="正文文本缩进 字符"/>
    <w:link w:val="1011"/>
    <w:qFormat/>
    <w:rPr>
      <w:rFonts w:eastAsia="宋体"/>
      <w:sz w:val="24"/>
      <w:szCs w:val="24"/>
      <w:lang w:val="en-US" w:eastAsia="zh-CN" w:bidi="ar-SA"/>
    </w:rPr>
  </w:style>
  <w:style w:type="paragraph" w:styleId="1013">
    <w:name w:val="List 2"/>
    <w:basedOn w:val="806"/>
    <w:qFormat/>
    <w:pPr>
      <w:ind w:left="100" w:hanging="200"/>
    </w:pPr>
  </w:style>
  <w:style w:type="paragraph" w:styleId="1014">
    <w:name w:val="Block Text"/>
    <w:basedOn w:val="806"/>
    <w:qFormat/>
    <w:pPr>
      <w:ind w:left="480" w:right="-341" w:firstLine="513"/>
      <w:widowControl/>
    </w:pPr>
    <w:rPr>
      <w:sz w:val="24"/>
      <w:szCs w:val="20"/>
    </w:rPr>
  </w:style>
  <w:style w:type="paragraph" w:styleId="1015">
    <w:name w:val="Plain Text"/>
    <w:basedOn w:val="806"/>
    <w:link w:val="1016"/>
    <w:uiPriority w:val="99"/>
    <w:qFormat/>
    <w:rPr>
      <w:rFonts w:hint="eastAsia" w:ascii="宋体" w:hAnsi="Courier New"/>
      <w:szCs w:val="20"/>
    </w:rPr>
  </w:style>
  <w:style w:type="character" w:styleId="1016" w:customStyle="1">
    <w:name w:val="纯文本 字符2"/>
    <w:link w:val="1015"/>
    <w:uiPriority w:val="99"/>
    <w:qFormat/>
    <w:rPr>
      <w:rFonts w:hint="eastAsia" w:ascii="宋体" w:hAnsi="Courier New" w:eastAsia="宋体" w:cs="宋体"/>
      <w:sz w:val="21"/>
    </w:rPr>
  </w:style>
  <w:style w:type="paragraph" w:styleId="1017">
    <w:name w:val="Date"/>
    <w:basedOn w:val="806"/>
    <w:next w:val="806"/>
    <w:link w:val="1018"/>
    <w:uiPriority w:val="99"/>
    <w:qFormat/>
    <w:pPr>
      <w:ind w:left="100"/>
    </w:pPr>
    <w:rPr>
      <w:rFonts w:ascii="仿宋_GB2312" w:hAnsi="宋体" w:eastAsia="仿宋_GB2312"/>
      <w:color w:val="000000"/>
      <w:sz w:val="24"/>
    </w:rPr>
  </w:style>
  <w:style w:type="character" w:styleId="1018" w:customStyle="1">
    <w:name w:val="日期 字符"/>
    <w:link w:val="1017"/>
    <w:uiPriority w:val="99"/>
    <w:qFormat/>
    <w:rPr>
      <w:rFonts w:ascii="仿宋_GB2312" w:hAnsi="宋体" w:eastAsia="仿宋_GB2312"/>
      <w:color w:val="000000"/>
      <w:sz w:val="24"/>
      <w:szCs w:val="24"/>
    </w:rPr>
  </w:style>
  <w:style w:type="paragraph" w:styleId="1019">
    <w:name w:val="Body Text Indent 2"/>
    <w:basedOn w:val="806"/>
    <w:link w:val="1020"/>
    <w:qFormat/>
    <w:pPr>
      <w:ind w:firstLine="480"/>
    </w:pPr>
    <w:rPr>
      <w:rFonts w:ascii="仿宋_GB2312" w:eastAsia="仿宋_GB2312"/>
      <w:sz w:val="24"/>
    </w:rPr>
  </w:style>
  <w:style w:type="character" w:styleId="1020" w:customStyle="1">
    <w:name w:val="正文文本缩进 2 字符"/>
    <w:link w:val="1019"/>
    <w:qFormat/>
    <w:rPr>
      <w:rFonts w:ascii="仿宋_GB2312" w:eastAsia="仿宋_GB2312"/>
      <w:sz w:val="24"/>
      <w:szCs w:val="24"/>
    </w:rPr>
  </w:style>
  <w:style w:type="paragraph" w:styleId="1021">
    <w:name w:val="Balloon Text"/>
    <w:basedOn w:val="806"/>
    <w:link w:val="1022"/>
    <w:uiPriority w:val="99"/>
    <w:qFormat/>
    <w:rPr>
      <w:sz w:val="18"/>
      <w:szCs w:val="18"/>
    </w:rPr>
  </w:style>
  <w:style w:type="character" w:styleId="1022" w:customStyle="1">
    <w:name w:val="批注框文本 字符"/>
    <w:link w:val="1021"/>
    <w:uiPriority w:val="99"/>
    <w:qFormat/>
    <w:rPr>
      <w:sz w:val="18"/>
      <w:szCs w:val="18"/>
    </w:rPr>
  </w:style>
  <w:style w:type="paragraph" w:styleId="1023">
    <w:name w:val="Body Text Indent 3"/>
    <w:basedOn w:val="806"/>
    <w:link w:val="1024"/>
    <w:qFormat/>
    <w:pPr>
      <w:ind w:left="720" w:firstLine="480"/>
      <w:jc w:val="left"/>
      <w:spacing w:before="120" w:line="22" w:lineRule="atLeast"/>
    </w:pPr>
    <w:rPr>
      <w:rFonts w:ascii="宋体"/>
      <w:sz w:val="24"/>
      <w:szCs w:val="20"/>
    </w:rPr>
  </w:style>
  <w:style w:type="character" w:styleId="1024" w:customStyle="1">
    <w:name w:val="正文文本缩进 3 字符"/>
    <w:link w:val="1023"/>
    <w:qFormat/>
    <w:rPr>
      <w:rFonts w:ascii="宋体"/>
      <w:sz w:val="24"/>
    </w:rPr>
  </w:style>
  <w:style w:type="paragraph" w:styleId="1025">
    <w:name w:val="HTML Preformatted"/>
    <w:basedOn w:val="806"/>
    <w:link w:val="10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6" w:customStyle="1">
    <w:name w:val="HTML 预设格式 字符"/>
    <w:link w:val="1025"/>
    <w:qFormat/>
    <w:rPr>
      <w:rFonts w:ascii="宋体" w:hAnsi="宋体" w:cs="宋体"/>
      <w:sz w:val="24"/>
      <w:szCs w:val="24"/>
    </w:rPr>
  </w:style>
  <w:style w:type="paragraph" w:styleId="1027">
    <w:name w:val="Normal (Web)"/>
    <w:basedOn w:val="806"/>
    <w:uiPriority w:val="99"/>
    <w:unhideWhenUsed/>
    <w:qFormat/>
    <w:pPr>
      <w:jc w:val="left"/>
      <w:spacing w:before="100" w:beforeAutospacing="1" w:after="100" w:afterAutospacing="1"/>
      <w:widowControl/>
    </w:pPr>
    <w:rPr>
      <w:rFonts w:ascii="宋体" w:hAnsi="宋体" w:cs="宋体"/>
      <w:sz w:val="24"/>
    </w:rPr>
  </w:style>
  <w:style w:type="paragraph" w:styleId="1028">
    <w:name w:val="index 1"/>
    <w:basedOn w:val="806"/>
    <w:next w:val="806"/>
    <w:qFormat/>
    <w:rPr>
      <w:szCs w:val="20"/>
    </w:rPr>
  </w:style>
  <w:style w:type="paragraph" w:styleId="1029">
    <w:name w:val="index 2"/>
    <w:basedOn w:val="806"/>
    <w:next w:val="806"/>
    <w:uiPriority w:val="99"/>
    <w:qFormat/>
    <w:pPr>
      <w:ind w:left="200"/>
    </w:pPr>
    <w:rPr>
      <w:szCs w:val="20"/>
    </w:rPr>
  </w:style>
  <w:style w:type="paragraph" w:styleId="1030">
    <w:name w:val="annotation subject"/>
    <w:basedOn w:val="1005"/>
    <w:next w:val="1005"/>
    <w:link w:val="1031"/>
    <w:qFormat/>
    <w:rPr>
      <w:b/>
      <w:bCs/>
    </w:rPr>
  </w:style>
  <w:style w:type="character" w:styleId="1031" w:customStyle="1">
    <w:name w:val="批注主题 字符"/>
    <w:link w:val="1030"/>
    <w:qFormat/>
    <w:rPr>
      <w:rFonts w:ascii="Times New Roman" w:hAnsi="Times New Roman" w:eastAsia="宋体" w:cs="Times New Roman"/>
      <w:b/>
      <w:bCs/>
      <w:sz w:val="21"/>
      <w:szCs w:val="24"/>
      <w:lang w:val="en-US" w:eastAsia="zh-CN" w:bidi="ar-SA"/>
    </w:rPr>
  </w:style>
  <w:style w:type="paragraph" w:styleId="1032">
    <w:name w:val="Body Text First Indent"/>
    <w:basedOn w:val="1009"/>
    <w:link w:val="1033"/>
    <w:uiPriority w:val="99"/>
    <w:qFormat/>
    <w:pPr>
      <w:ind w:firstLine="420"/>
    </w:pPr>
  </w:style>
  <w:style w:type="character" w:styleId="1033" w:customStyle="1">
    <w:name w:val="正文文本首行缩进 字符"/>
    <w:link w:val="1032"/>
    <w:uiPriority w:val="99"/>
  </w:style>
  <w:style w:type="paragraph" w:styleId="1034">
    <w:name w:val="Body Text First Indent 2"/>
    <w:basedOn w:val="1011"/>
    <w:link w:val="1035"/>
    <w:qFormat/>
    <w:pPr>
      <w:ind w:left="420" w:firstLine="420"/>
      <w:spacing w:after="120" w:line="480" w:lineRule="exact"/>
    </w:pPr>
    <w:rPr>
      <w:szCs w:val="20"/>
    </w:rPr>
  </w:style>
  <w:style w:type="character" w:styleId="1035" w:customStyle="1">
    <w:name w:val="正文文本首行缩进 2 字符"/>
    <w:link w:val="1034"/>
    <w:qFormat/>
    <w:rPr>
      <w:rFonts w:eastAsia="宋体"/>
      <w:sz w:val="24"/>
      <w:szCs w:val="24"/>
      <w:lang w:val="en-US" w:eastAsia="zh-CN" w:bidi="ar-SA"/>
    </w:rPr>
  </w:style>
  <w:style w:type="table" w:styleId="1036" w:customStyle="1">
    <w:name w:val="中等深浅网格 1 - 强调文字颜色 21"/>
    <w:basedOn w:val="817"/>
    <w:qFormat/>
    <w:rPr>
      <w:sz w:val="21"/>
      <w:szCs w:val="24"/>
    </w:rPr>
    <w:tblPr/>
  </w:style>
  <w:style w:type="character" w:styleId="1037">
    <w:name w:val="Strong"/>
    <w:uiPriority w:val="99"/>
    <w:qFormat/>
    <w:rPr>
      <w:b/>
      <w:bCs/>
    </w:rPr>
  </w:style>
  <w:style w:type="character" w:styleId="1038">
    <w:name w:val="page number"/>
    <w:uiPriority w:val="99"/>
    <w:qFormat/>
  </w:style>
  <w:style w:type="character" w:styleId="1039">
    <w:name w:val="FollowedHyperlink"/>
    <w:uiPriority w:val="99"/>
    <w:qFormat/>
    <w:rPr>
      <w:color w:val="333333"/>
      <w:u w:val="none"/>
    </w:rPr>
  </w:style>
  <w:style w:type="character" w:styleId="1040">
    <w:name w:val="Emphasis"/>
    <w:uiPriority w:val="20"/>
    <w:qFormat/>
    <w:rPr>
      <w:color w:val="cc0033"/>
    </w:rPr>
  </w:style>
  <w:style w:type="character" w:styleId="1041">
    <w:name w:val="annotation reference"/>
    <w:qFormat/>
    <w:rPr>
      <w:sz w:val="21"/>
      <w:szCs w:val="21"/>
    </w:rPr>
  </w:style>
  <w:style w:type="character" w:styleId="1042">
    <w:name w:val="HTML Cite"/>
    <w:qFormat/>
    <w:rPr>
      <w:i/>
      <w:iCs/>
    </w:rPr>
  </w:style>
  <w:style w:type="paragraph" w:styleId="1043" w:customStyle="1">
    <w:name w:val="Default"/>
    <w:link w:val="1345"/>
    <w:qFormat/>
    <w:pPr>
      <w:widowControl w:val="off"/>
    </w:pPr>
    <w:rPr>
      <w:rFonts w:ascii="Symbol" w:hAnsi="Symbol" w:cs="Symbol"/>
      <w:color w:val="000000"/>
      <w:sz w:val="24"/>
      <w:szCs w:val="24"/>
    </w:rPr>
  </w:style>
  <w:style w:type="character" w:styleId="1044" w:customStyle="1">
    <w:name w:val="批注文字 字符"/>
    <w:uiPriority w:val="99"/>
    <w:qFormat/>
    <w:rPr>
      <w:rFonts w:ascii="Times New Roman" w:hAnsi="Times New Roman" w:eastAsia="宋体" w:cs="Times New Roman"/>
      <w:sz w:val="24"/>
      <w:lang w:val="en-US" w:eastAsia="zh-CN" w:bidi="ar-SA"/>
    </w:rPr>
  </w:style>
  <w:style w:type="character" w:styleId="1045" w:customStyle="1">
    <w:name w:val="c21"/>
    <w:qFormat/>
    <w:rPr>
      <w:rFonts w:ascii="ˎ̥" w:hAnsi="ˎ̥"/>
      <w:color w:val="000000"/>
      <w:sz w:val="20"/>
      <w:szCs w:val="20"/>
      <w:u w:val="none"/>
    </w:rPr>
  </w:style>
  <w:style w:type="character" w:styleId="1046" w:customStyle="1">
    <w:name w:val="title4"/>
    <w:qFormat/>
    <w:rPr>
      <w:b/>
      <w:bCs/>
      <w:color w:val="1d87b3"/>
      <w:sz w:val="15"/>
      <w:szCs w:val="15"/>
    </w:rPr>
  </w:style>
  <w:style w:type="character" w:styleId="1047" w:customStyle="1">
    <w:name w:val="标题 2 Char Char"/>
    <w:qFormat/>
    <w:rPr>
      <w:rFonts w:ascii="Arial" w:hAnsi="Arial" w:eastAsia="黑体"/>
      <w:b/>
      <w:bCs/>
      <w:sz w:val="32"/>
      <w:szCs w:val="32"/>
      <w:lang w:val="en-US" w:eastAsia="zh-CN" w:bidi="ar-SA"/>
    </w:rPr>
  </w:style>
  <w:style w:type="character" w:styleId="1048" w:customStyle="1">
    <w:name w:val="black1"/>
    <w:qFormat/>
    <w:rPr>
      <w:color w:val="000000"/>
    </w:rPr>
  </w:style>
  <w:style w:type="character" w:styleId="1049" w:customStyle="1">
    <w:name w:val="street-address"/>
    <w:qFormat/>
  </w:style>
  <w:style w:type="character" w:styleId="1050" w:customStyle="1">
    <w:name w:val="locality"/>
    <w:qFormat/>
  </w:style>
  <w:style w:type="character" w:styleId="1051" w:customStyle="1">
    <w:name w:val="正文文本缩进 Char1"/>
    <w:link w:val="1052"/>
    <w:qFormat/>
    <w:rPr>
      <w:rFonts w:ascii="宋体" w:hAnsi="宋体" w:eastAsia="宋体"/>
      <w:sz w:val="24"/>
      <w:szCs w:val="24"/>
      <w:lang w:bidi="ar-SA"/>
    </w:rPr>
  </w:style>
  <w:style w:type="paragraph" w:styleId="1052" w:customStyle="1">
    <w:name w:val="正文文本缩进1"/>
    <w:basedOn w:val="806"/>
    <w:link w:val="1051"/>
    <w:qFormat/>
    <w:pPr>
      <w:ind w:firstLine="480"/>
      <w:spacing w:line="480" w:lineRule="exact"/>
    </w:pPr>
    <w:rPr>
      <w:rFonts w:ascii="宋体" w:hAnsi="宋体"/>
      <w:sz w:val="24"/>
    </w:rPr>
  </w:style>
  <w:style w:type="character" w:styleId="1053" w:customStyle="1">
    <w:name w:val="Char Char11"/>
    <w:qFormat/>
    <w:rPr>
      <w:rFonts w:ascii="宋体" w:eastAsia="宋体"/>
      <w:b/>
      <w:sz w:val="24"/>
      <w:u w:val="single"/>
      <w:lang w:val="en-US" w:eastAsia="zh-CN" w:bidi="ar-SA"/>
    </w:rPr>
  </w:style>
  <w:style w:type="character" w:styleId="1054" w:customStyle="1">
    <w:name w:val="txt"/>
    <w:qFormat/>
  </w:style>
  <w:style w:type="character" w:styleId="1055" w:customStyle="1">
    <w:name w:val="正文缩进 Char Char"/>
    <w:link w:val="1056"/>
    <w:qFormat/>
    <w:rPr>
      <w:rFonts w:ascii="宋体" w:eastAsia="宋体"/>
      <w:color w:val="000000"/>
      <w:sz w:val="28"/>
      <w:lang w:bidi="ar-SA"/>
    </w:rPr>
  </w:style>
  <w:style w:type="paragraph" w:styleId="1056" w:customStyle="1">
    <w:name w:val="正文缩进1"/>
    <w:basedOn w:val="806"/>
    <w:link w:val="1055"/>
    <w:qFormat/>
    <w:pPr>
      <w:ind w:firstLine="567"/>
      <w:spacing w:line="480" w:lineRule="exact"/>
      <w:widowControl/>
    </w:pPr>
    <w:rPr>
      <w:rFonts w:ascii="宋体"/>
      <w:color w:val="000000"/>
      <w:sz w:val="28"/>
      <w:szCs w:val="20"/>
    </w:rPr>
  </w:style>
  <w:style w:type="character" w:styleId="1057" w:customStyle="1">
    <w:name w:val="普通文字1 Char1"/>
    <w:qFormat/>
    <w:rPr>
      <w:rFonts w:ascii="宋体" w:hAnsi="Courier New" w:eastAsia="宋体"/>
      <w:sz w:val="21"/>
      <w:lang w:val="en-US" w:eastAsia="zh-CN" w:bidi="ar-SA"/>
    </w:rPr>
  </w:style>
  <w:style w:type="character" w:styleId="1058" w:customStyle="1">
    <w:name w:val="chanpin1"/>
    <w:qFormat/>
    <w:rPr>
      <w:rFonts w:ascii="ˎ̥" w:hAnsi="ˎ̥"/>
      <w:color w:val="000000"/>
      <w:sz w:val="20"/>
      <w:szCs w:val="20"/>
      <w:u w:val="none"/>
    </w:rPr>
  </w:style>
  <w:style w:type="character" w:styleId="1059" w:customStyle="1">
    <w:name w:val="标题 3 Char Char"/>
    <w:qFormat/>
    <w:rPr>
      <w:rFonts w:eastAsia="宋体"/>
      <w:b/>
      <w:bCs/>
      <w:sz w:val="32"/>
      <w:szCs w:val="32"/>
      <w:lang w:val="en-US" w:eastAsia="zh-CN" w:bidi="ar-SA"/>
    </w:rPr>
  </w:style>
  <w:style w:type="character" w:styleId="1060" w:customStyle="1">
    <w:name w:val="段1 Char"/>
    <w:qFormat/>
    <w:rPr>
      <w:rFonts w:ascii="宋体" w:eastAsia="宋体"/>
      <w:sz w:val="24"/>
      <w:lang w:val="en-US" w:eastAsia="zh-CN" w:bidi="ar-SA"/>
    </w:rPr>
  </w:style>
  <w:style w:type="character" w:styleId="1061" w:customStyle="1">
    <w:name w:val="chanpin拷贝"/>
    <w:qFormat/>
  </w:style>
  <w:style w:type="character" w:styleId="1062" w:customStyle="1">
    <w:name w:val="纯文本 Char1"/>
    <w:qFormat/>
    <w:rPr>
      <w:rFonts w:ascii="宋体" w:hAnsi="Courier New" w:eastAsia="宋体"/>
      <w:sz w:val="21"/>
      <w:lang w:val="en-US" w:eastAsia="zh-CN" w:bidi="ar-SA"/>
    </w:rPr>
  </w:style>
  <w:style w:type="character" w:styleId="1063" w:customStyle="1">
    <w:name w:val="apple-style-span"/>
    <w:qFormat/>
    <w:rPr>
      <w:rFonts w:cs="Times New Roman"/>
    </w:rPr>
  </w:style>
  <w:style w:type="paragraph" w:styleId="1064" w:customStyle="1">
    <w:name w:val="二级条标题"/>
    <w:basedOn w:val="1065"/>
    <w:next w:val="806"/>
    <w:qFormat/>
    <w:pPr>
      <w:numPr>
        <w:ilvl w:val="0"/>
        <w:numId w:val="0"/>
      </w:numPr>
      <w:ind w:hanging="840"/>
      <w:outlineLvl w:val="2"/>
    </w:pPr>
    <w:rPr>
      <w:rFonts w:ascii="宋体" w:eastAsia="宋体"/>
      <w:b w:val="0"/>
    </w:rPr>
  </w:style>
  <w:style w:type="paragraph" w:styleId="1065" w:customStyle="1">
    <w:name w:val="一级条标题"/>
    <w:basedOn w:val="1066"/>
    <w:next w:val="806"/>
    <w:qFormat/>
    <w:pPr>
      <w:numPr>
        <w:ilvl w:val="1"/>
      </w:numPr>
      <w:ind w:left="0" w:hanging="840"/>
      <w:tabs>
        <w:tab w:val="left" w:pos="360" w:leader="none"/>
        <w:tab w:val="left" w:pos="840" w:leader="none"/>
      </w:tabs>
      <w:outlineLvl w:val="1"/>
    </w:pPr>
  </w:style>
  <w:style w:type="paragraph" w:styleId="1066" w:customStyle="1">
    <w:name w:val="章标题"/>
    <w:next w:val="806"/>
    <w:qFormat/>
    <w:pPr>
      <w:numPr>
        <w:numId w:val="1"/>
      </w:numPr>
      <w:ind w:left="0"/>
      <w:jc w:val="both"/>
      <w:spacing w:before="156" w:after="156" w:line="460" w:lineRule="exact"/>
      <w:outlineLvl w:val="0"/>
    </w:pPr>
    <w:rPr>
      <w:rFonts w:ascii="黑体" w:eastAsia="黑体"/>
      <w:b/>
      <w:sz w:val="28"/>
    </w:rPr>
  </w:style>
  <w:style w:type="paragraph" w:styleId="1067" w:customStyle="1">
    <w:name w:val="font7"/>
    <w:basedOn w:val="806"/>
    <w:qFormat/>
    <w:pPr>
      <w:jc w:val="left"/>
      <w:spacing w:before="100" w:beforeAutospacing="1" w:after="100" w:afterAutospacing="1"/>
      <w:widowControl/>
    </w:pPr>
    <w:rPr>
      <w:rFonts w:eastAsia="Arial Unicode MS"/>
      <w:b/>
      <w:bCs/>
      <w:color w:val="000000"/>
      <w:sz w:val="20"/>
      <w:szCs w:val="20"/>
    </w:rPr>
  </w:style>
  <w:style w:type="paragraph" w:styleId="1068" w:customStyle="1">
    <w:name w:val="字元 字元"/>
    <w:basedOn w:val="806"/>
    <w:qFormat/>
    <w:rPr>
      <w:rFonts w:ascii="Tahoma" w:hAnsi="Tahoma"/>
      <w:sz w:val="24"/>
      <w:szCs w:val="20"/>
    </w:rPr>
  </w:style>
  <w:style w:type="paragraph" w:styleId="1069" w:customStyle="1">
    <w:name w:val="Char3 Char Char Char"/>
    <w:basedOn w:val="806"/>
    <w:qFormat/>
    <w:rPr>
      <w:rFonts w:ascii="Tahoma" w:hAnsi="Tahoma"/>
      <w:sz w:val="24"/>
      <w:szCs w:val="20"/>
    </w:rPr>
  </w:style>
  <w:style w:type="paragraph" w:styleId="1070" w:customStyle="1">
    <w:name w:val="font6"/>
    <w:basedOn w:val="806"/>
    <w:qFormat/>
    <w:pPr>
      <w:jc w:val="left"/>
      <w:spacing w:before="100" w:beforeAutospacing="1" w:after="100" w:afterAutospacing="1"/>
      <w:widowControl/>
    </w:pPr>
    <w:rPr>
      <w:rFonts w:ascii="宋体" w:hAnsi="宋体" w:cs="宋体"/>
      <w:sz w:val="20"/>
      <w:szCs w:val="20"/>
    </w:rPr>
  </w:style>
  <w:style w:type="paragraph" w:styleId="1071" w:customStyle="1">
    <w:name w:val="项目编号2"/>
    <w:basedOn w:val="1072"/>
    <w:qFormat/>
    <w:pPr>
      <w:numPr>
        <w:numId w:val="3"/>
      </w:numPr>
    </w:pPr>
  </w:style>
  <w:style w:type="paragraph" w:styleId="1072" w:customStyle="1">
    <w:name w:val="项目编号1"/>
    <w:basedOn w:val="806"/>
    <w:qFormat/>
    <w:pPr>
      <w:numPr>
        <w:numId w:val="2"/>
      </w:numPr>
      <w:spacing w:before="100" w:beforeAutospacing="1" w:after="100" w:afterAutospacing="1" w:line="360" w:lineRule="auto"/>
    </w:pPr>
    <w:rPr>
      <w:sz w:val="24"/>
    </w:rPr>
  </w:style>
  <w:style w:type="paragraph" w:styleId="1073" w:customStyle="1">
    <w:name w:val="图中文字"/>
    <w:basedOn w:val="806"/>
    <w:qFormat/>
    <w:pPr>
      <w:jc w:val="center"/>
      <w:spacing w:line="0" w:lineRule="atLeast"/>
    </w:pPr>
    <w:rPr>
      <w:sz w:val="24"/>
      <w:szCs w:val="20"/>
    </w:rPr>
  </w:style>
  <w:style w:type="paragraph" w:styleId="1074" w:customStyle="1">
    <w:name w:val="xl46"/>
    <w:basedOn w:val="80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5" w:customStyle="1">
    <w:name w:val="xl25"/>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6" w:customStyle="1">
    <w:name w:val="Char2"/>
    <w:basedOn w:val="806"/>
    <w:qFormat/>
    <w:rPr>
      <w:rFonts w:ascii="Tahoma" w:hAnsi="Tahoma"/>
      <w:sz w:val="24"/>
      <w:szCs w:val="20"/>
    </w:rPr>
  </w:style>
  <w:style w:type="paragraph" w:styleId="1077" w:customStyle="1">
    <w:name w:val="xl35"/>
    <w:basedOn w:val="8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8" w:customStyle="1">
    <w:name w:val="xl4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customStyle="1">
    <w:name w:val="xl52"/>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0" w:customStyle="1">
    <w:name w:val="xl43"/>
    <w:basedOn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1" w:customStyle="1">
    <w:name w:val="background1"/>
    <w:basedOn w:val="806"/>
    <w:qFormat/>
    <w:pPr>
      <w:jc w:val="left"/>
      <w:spacing w:before="100" w:beforeAutospacing="1" w:after="100" w:afterAutospacing="1"/>
      <w:widowControl/>
    </w:pPr>
    <w:rPr>
      <w:rFonts w:ascii="宋体" w:hAnsi="宋体" w:cs="宋体"/>
      <w:sz w:val="24"/>
    </w:rPr>
  </w:style>
  <w:style w:type="paragraph" w:styleId="1082" w:customStyle="1">
    <w:name w:val="Char Char Char Char Char Char Char"/>
    <w:basedOn w:val="806"/>
    <w:qFormat/>
    <w:pPr>
      <w:ind w:firstLine="200"/>
      <w:spacing w:line="360" w:lineRule="auto"/>
    </w:pPr>
    <w:rPr>
      <w:rFonts w:eastAsia="仿宋_GB2312"/>
      <w:sz w:val="24"/>
    </w:rPr>
  </w:style>
  <w:style w:type="paragraph" w:styleId="1083" w:customStyle="1">
    <w:name w:val="xl38"/>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4" w:customStyle="1">
    <w:name w:val="xl36"/>
    <w:basedOn w:val="80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5" w:customStyle="1">
    <w:name w:val="正文 + 宋体"/>
    <w:basedOn w:val="806"/>
    <w:qFormat/>
    <w:pPr>
      <w:ind w:left="360" w:hanging="360"/>
      <w:jc w:val="left"/>
      <w:widowControl/>
    </w:pPr>
    <w:rPr>
      <w:rFonts w:ascii="宋体" w:hAnsi="宋体" w:cs="宋体"/>
      <w:b/>
      <w:bCs/>
      <w:color w:val="000000"/>
      <w:sz w:val="18"/>
      <w:szCs w:val="18"/>
    </w:rPr>
  </w:style>
  <w:style w:type="paragraph" w:styleId="1086" w:customStyle="1">
    <w:name w:val="正文列项_数字"/>
    <w:basedOn w:val="806"/>
    <w:qFormat/>
    <w:pPr>
      <w:numPr>
        <w:ilvl w:val="7"/>
        <w:numId w:val="1"/>
      </w:numPr>
      <w:ind w:left="680" w:hanging="150"/>
      <w:spacing w:line="460" w:lineRule="exact"/>
      <w:tabs>
        <w:tab w:val="clear" w:pos="860" w:leader="none"/>
      </w:tabs>
      <w:outlineLvl w:val="7"/>
    </w:pPr>
    <w:rPr>
      <w:rFonts w:ascii="宋体"/>
      <w:sz w:val="28"/>
      <w:szCs w:val="20"/>
    </w:rPr>
  </w:style>
  <w:style w:type="paragraph" w:styleId="1087" w:customStyle="1">
    <w:name w:val="xl39"/>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8" w:customStyle="1">
    <w:name w:val="xl37"/>
    <w:basedOn w:val="8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customStyle="1">
    <w:name w:val="xl32"/>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customStyle="1">
    <w:name w:val="font8"/>
    <w:basedOn w:val="806"/>
    <w:qFormat/>
    <w:pPr>
      <w:jc w:val="left"/>
      <w:spacing w:before="100" w:beforeAutospacing="1" w:after="100" w:afterAutospacing="1"/>
      <w:widowControl/>
    </w:pPr>
    <w:rPr>
      <w:sz w:val="36"/>
      <w:szCs w:val="36"/>
    </w:rPr>
  </w:style>
  <w:style w:type="paragraph" w:styleId="1091" w:customStyle="1">
    <w:name w:val="Char"/>
    <w:basedOn w:val="806"/>
    <w:qFormat/>
    <w:pPr>
      <w:tabs>
        <w:tab w:val="left" w:pos="360" w:leader="none"/>
      </w:tabs>
    </w:pPr>
    <w:rPr>
      <w:sz w:val="24"/>
    </w:rPr>
  </w:style>
  <w:style w:type="paragraph" w:styleId="1092" w:customStyle="1">
    <w:name w:val="Char Char Char Char Char Char Char Char Char Char Char Char Char Char Char Char"/>
    <w:basedOn w:val="806"/>
    <w:qFormat/>
    <w:pPr>
      <w:jc w:val="center"/>
      <w:spacing w:after="160" w:line="240" w:lineRule="exact"/>
      <w:widowControl/>
    </w:pPr>
    <w:rPr>
      <w:rFonts w:ascii="宋体" w:hAnsi="宋体"/>
      <w:b/>
      <w:sz w:val="30"/>
      <w:szCs w:val="30"/>
      <w:lang w:eastAsia="en-US"/>
    </w:rPr>
  </w:style>
  <w:style w:type="paragraph" w:styleId="1093" w:customStyle="1">
    <w:name w:val="xl45"/>
    <w:basedOn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4" w:customStyle="1">
    <w:name w:val="Char Char1 Char Char Char Char Char Char"/>
    <w:basedOn w:val="806"/>
    <w:qFormat/>
    <w:pPr>
      <w:jc w:val="left"/>
      <w:spacing w:after="160" w:line="240" w:lineRule="exact"/>
      <w:widowControl/>
    </w:pPr>
    <w:rPr>
      <w:rFonts w:ascii="Verdana" w:hAnsi="Verdana" w:eastAsia="仿宋_GB2312"/>
      <w:sz w:val="24"/>
      <w:szCs w:val="20"/>
      <w:lang w:eastAsia="en-US"/>
    </w:rPr>
  </w:style>
  <w:style w:type="paragraph" w:styleId="1095" w:customStyle="1">
    <w:name w:val="Char Char1"/>
    <w:basedOn w:val="1003"/>
    <w:qFormat/>
    <w:rPr>
      <w:rFonts w:ascii="Tahoma" w:hAnsi="Tahoma"/>
      <w:sz w:val="24"/>
    </w:rPr>
  </w:style>
  <w:style w:type="paragraph" w:styleId="1096" w:customStyle="1">
    <w:name w:val="xl26"/>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7" w:customStyle="1">
    <w:name w:val="xl3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customStyle="1">
    <w:name w:val="xl41"/>
    <w:basedOn w:val="8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customStyle="1">
    <w:name w:val="样式 宋体 五号 行距: 单倍行距"/>
    <w:basedOn w:val="806"/>
    <w:qFormat/>
    <w:pPr>
      <w:jc w:val="left"/>
    </w:pPr>
    <w:rPr>
      <w:rFonts w:ascii="宋体" w:hAnsi="宋体"/>
      <w:szCs w:val="20"/>
    </w:rPr>
  </w:style>
  <w:style w:type="paragraph" w:styleId="1100" w:customStyle="1">
    <w:name w:val="Char1 Char Char Char1"/>
    <w:basedOn w:val="806"/>
    <w:qFormat/>
    <w:rPr>
      <w:rFonts w:ascii="Tahoma" w:hAnsi="Tahoma" w:cs="仿宋_GB2312"/>
      <w:sz w:val="24"/>
      <w:szCs w:val="28"/>
    </w:rPr>
  </w:style>
  <w:style w:type="paragraph" w:styleId="1101" w:customStyle="1">
    <w:name w:val="四级条标题"/>
    <w:basedOn w:val="1102"/>
    <w:next w:val="806"/>
    <w:qFormat/>
    <w:pPr>
      <w:numPr>
        <w:ilvl w:val="4"/>
      </w:numPr>
      <w:ind w:left="0" w:hanging="840"/>
      <w:outlineLvl w:val="4"/>
    </w:pPr>
  </w:style>
  <w:style w:type="paragraph" w:styleId="1102" w:customStyle="1">
    <w:name w:val="三级条标题"/>
    <w:basedOn w:val="1064"/>
    <w:next w:val="806"/>
    <w:qFormat/>
    <w:pPr>
      <w:numPr>
        <w:ilvl w:val="3"/>
        <w:numId w:val="1"/>
      </w:numPr>
      <w:ind w:left="0" w:hanging="840"/>
      <w:outlineLvl w:val="3"/>
    </w:pPr>
  </w:style>
  <w:style w:type="paragraph" w:styleId="1103" w:customStyle="1">
    <w:name w:val="??"/>
    <w:qFormat/>
    <w:pPr>
      <w:jc w:val="both"/>
      <w:widowControl w:val="off"/>
    </w:pPr>
    <w:rPr>
      <w:sz w:val="21"/>
      <w:lang w:eastAsia="en-US"/>
    </w:rPr>
  </w:style>
  <w:style w:type="paragraph" w:styleId="1104" w:customStyle="1">
    <w:name w:val="样式 标题 2 + 宋体 五号 行距: 单倍行距"/>
    <w:basedOn w:val="80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5" w:customStyle="1">
    <w:name w:val="List Paragraph1"/>
    <w:basedOn w:val="806"/>
    <w:qFormat/>
    <w:pPr>
      <w:ind w:firstLine="420"/>
    </w:pPr>
    <w:rPr>
      <w:rFonts w:ascii="Calibri" w:hAnsi="Calibri"/>
      <w:szCs w:val="22"/>
    </w:rPr>
  </w:style>
  <w:style w:type="paragraph" w:styleId="1106" w:customStyle="1">
    <w:name w:val="项目符号1"/>
    <w:basedOn w:val="1107"/>
    <w:qFormat/>
    <w:pPr>
      <w:ind w:left="-25" w:firstLine="0"/>
    </w:pPr>
  </w:style>
  <w:style w:type="paragraph" w:styleId="1107" w:customStyle="1">
    <w:name w:val="正文文本样式"/>
    <w:basedOn w:val="806"/>
    <w:qFormat/>
    <w:pPr>
      <w:ind w:firstLine="482"/>
      <w:spacing w:line="360" w:lineRule="auto"/>
    </w:pPr>
    <w:rPr>
      <w:rFonts w:cs="宋体"/>
      <w:sz w:val="24"/>
      <w:szCs w:val="20"/>
    </w:rPr>
  </w:style>
  <w:style w:type="paragraph" w:styleId="1108" w:customStyle="1">
    <w:name w:val="xl27"/>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9" w:customStyle="1">
    <w:name w:val="font5"/>
    <w:basedOn w:val="806"/>
    <w:qFormat/>
    <w:pPr>
      <w:jc w:val="left"/>
      <w:spacing w:before="100" w:beforeAutospacing="1" w:after="100" w:afterAutospacing="1"/>
      <w:widowControl/>
    </w:pPr>
    <w:rPr>
      <w:rFonts w:ascii="宋体" w:hAnsi="宋体" w:cs="宋体"/>
      <w:sz w:val="18"/>
      <w:szCs w:val="18"/>
    </w:rPr>
  </w:style>
  <w:style w:type="paragraph" w:styleId="1110" w:customStyle="1">
    <w:name w:val="五级条标题"/>
    <w:basedOn w:val="1101"/>
    <w:next w:val="806"/>
    <w:qFormat/>
    <w:pPr>
      <w:numPr>
        <w:ilvl w:val="5"/>
      </w:numPr>
      <w:ind w:left="0" w:hanging="840"/>
      <w:outlineLvl w:val="5"/>
    </w:pPr>
  </w:style>
  <w:style w:type="paragraph" w:styleId="1111" w:customStyle="1">
    <w:name w:val="xl49"/>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2" w:customStyle="1">
    <w:name w:val="文档正文"/>
    <w:basedOn w:val="806"/>
    <w:qFormat/>
    <w:pPr>
      <w:spacing w:before="120" w:after="120" w:line="180" w:lineRule="auto"/>
    </w:pPr>
    <w:rPr>
      <w:rFonts w:ascii="Arial" w:hAnsi="Arial"/>
      <w:szCs w:val="20"/>
    </w:rPr>
  </w:style>
  <w:style w:type="paragraph" w:styleId="1113" w:customStyle="1">
    <w:name w:val="xl33"/>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4" w:customStyle="1">
    <w:name w:val="xl42"/>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5" w:customStyle="1">
    <w:name w:val="Char Char Char1 Char"/>
    <w:basedOn w:val="806"/>
    <w:uiPriority w:val="99"/>
    <w:qFormat/>
    <w:rPr>
      <w:rFonts w:ascii="Tahoma" w:hAnsi="Tahoma"/>
      <w:sz w:val="24"/>
      <w:szCs w:val="20"/>
    </w:rPr>
  </w:style>
  <w:style w:type="paragraph" w:styleId="1116" w:customStyle="1">
    <w:name w:val="xl44"/>
    <w:basedOn w:val="8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7" w:customStyle="1">
    <w:name w:val="1名"/>
    <w:basedOn w:val="806"/>
    <w:qFormat/>
    <w:pPr>
      <w:numPr>
        <w:numId w:val="5"/>
      </w:numPr>
      <w:spacing w:before="120"/>
      <w:tabs>
        <w:tab w:val="left" w:pos="360" w:leader="none"/>
      </w:tabs>
    </w:pPr>
    <w:rPr>
      <w:rFonts w:ascii="宋体"/>
      <w:sz w:val="28"/>
      <w:szCs w:val="20"/>
    </w:rPr>
  </w:style>
  <w:style w:type="paragraph" w:styleId="1118" w:customStyle="1">
    <w:name w:val="font9"/>
    <w:basedOn w:val="806"/>
    <w:qFormat/>
    <w:pPr>
      <w:jc w:val="left"/>
      <w:spacing w:before="100" w:beforeAutospacing="1" w:after="100" w:afterAutospacing="1"/>
      <w:widowControl/>
    </w:pPr>
    <w:rPr>
      <w:rFonts w:hint="eastAsia" w:ascii="宋体" w:hAnsi="宋体" w:cs="Arial Unicode MS"/>
      <w:color w:val="000000"/>
      <w:sz w:val="20"/>
      <w:szCs w:val="20"/>
    </w:rPr>
  </w:style>
  <w:style w:type="paragraph" w:styleId="1119" w:customStyle="1">
    <w:name w:val="Char Char Char1 Char1"/>
    <w:basedOn w:val="806"/>
    <w:uiPriority w:val="99"/>
    <w:qFormat/>
    <w:rPr>
      <w:rFonts w:ascii="Tahoma" w:hAnsi="Tahoma"/>
      <w:sz w:val="24"/>
      <w:szCs w:val="20"/>
    </w:rPr>
  </w:style>
  <w:style w:type="paragraph" w:styleId="1120" w:customStyle="1">
    <w:name w:val="Char Char Char Char Char Char Char Char Char Char"/>
    <w:basedOn w:val="806"/>
    <w:qFormat/>
  </w:style>
  <w:style w:type="paragraph" w:styleId="1121" w:customStyle="1">
    <w:name w:val="Char Char1 Char Char Char Char Char Char Char Char"/>
    <w:basedOn w:val="806"/>
    <w:qFormat/>
    <w:pPr>
      <w:jc w:val="left"/>
      <w:spacing w:after="160" w:line="240" w:lineRule="exact"/>
      <w:widowControl/>
    </w:pPr>
    <w:rPr>
      <w:rFonts w:ascii="Verdana" w:hAnsi="Verdana"/>
      <w:sz w:val="20"/>
      <w:szCs w:val="20"/>
      <w:lang w:eastAsia="en-US"/>
    </w:rPr>
  </w:style>
  <w:style w:type="paragraph" w:styleId="1122" w:customStyle="1">
    <w:name w:val="Char1"/>
    <w:basedOn w:val="806"/>
    <w:qFormat/>
    <w:pPr>
      <w:tabs>
        <w:tab w:val="left" w:pos="360" w:leader="none"/>
      </w:tabs>
    </w:pPr>
    <w:rPr>
      <w:sz w:val="24"/>
    </w:rPr>
  </w:style>
  <w:style w:type="paragraph" w:styleId="1123" w:customStyle="1">
    <w:name w:val="正文列项_字母"/>
    <w:basedOn w:val="806"/>
    <w:qFormat/>
    <w:pPr>
      <w:numPr>
        <w:ilvl w:val="6"/>
        <w:numId w:val="1"/>
      </w:numPr>
      <w:ind w:left="480" w:hanging="180"/>
      <w:spacing w:line="460" w:lineRule="exact"/>
      <w:tabs>
        <w:tab w:val="clear" w:pos="635" w:leader="none"/>
      </w:tabs>
      <w:outlineLvl w:val="6"/>
    </w:pPr>
    <w:rPr>
      <w:rFonts w:ascii="宋体"/>
      <w:sz w:val="28"/>
      <w:szCs w:val="20"/>
    </w:rPr>
  </w:style>
  <w:style w:type="paragraph" w:styleId="1124" w:customStyle="1">
    <w:name w:val="xl28"/>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customStyle="1">
    <w:name w:val="xl47"/>
    <w:basedOn w:val="8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customStyle="1">
    <w:name w:val="默认段落字体 Para Char Char Char Char"/>
    <w:basedOn w:val="806"/>
    <w:qFormat/>
    <w:rPr>
      <w:rFonts w:ascii="Arial" w:hAnsi="Arial" w:cs="Arial"/>
      <w:szCs w:val="21"/>
    </w:rPr>
  </w:style>
  <w:style w:type="paragraph" w:styleId="1127" w:customStyle="1">
    <w:name w:val="xl48"/>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8" w:customStyle="1">
    <w:name w:val="xl31"/>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9" w:customStyle="1">
    <w:name w:val="xl53"/>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customStyle="1">
    <w:name w:val="Char Char Char"/>
    <w:basedOn w:val="806"/>
    <w:qFormat/>
    <w:rPr>
      <w:rFonts w:ascii="Tahoma" w:hAnsi="Tahoma"/>
      <w:sz w:val="24"/>
      <w:szCs w:val="20"/>
    </w:rPr>
  </w:style>
  <w:style w:type="paragraph" w:styleId="1131" w:customStyle="1">
    <w:name w:val="xl50"/>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2" w:customStyle="1">
    <w:name w:val="缺省文本"/>
    <w:basedOn w:val="806"/>
    <w:qFormat/>
    <w:pPr>
      <w:jc w:val="left"/>
    </w:pPr>
    <w:rPr>
      <w:sz w:val="24"/>
    </w:rPr>
  </w:style>
  <w:style w:type="paragraph" w:styleId="1133" w:customStyle="1">
    <w:name w:val="Char Char Char1"/>
    <w:basedOn w:val="806"/>
    <w:qFormat/>
    <w:rPr>
      <w:rFonts w:ascii="Tahoma" w:hAnsi="Tahoma"/>
      <w:sz w:val="24"/>
      <w:szCs w:val="20"/>
    </w:rPr>
  </w:style>
  <w:style w:type="paragraph" w:styleId="1134" w:customStyle="1">
    <w:name w:val="Char Char Char Char Char Char Char1"/>
    <w:basedOn w:val="806"/>
    <w:qFormat/>
    <w:pPr>
      <w:ind w:firstLine="200"/>
      <w:spacing w:line="360" w:lineRule="auto"/>
    </w:pPr>
    <w:rPr>
      <w:rFonts w:eastAsia="仿宋_GB2312"/>
      <w:sz w:val="24"/>
    </w:rPr>
  </w:style>
  <w:style w:type="paragraph" w:styleId="1135" w:customStyle="1">
    <w:name w:val="xl51"/>
    <w:basedOn w:val="8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customStyle="1">
    <w:name w:val="样式2"/>
    <w:basedOn w:val="1028"/>
    <w:uiPriority w:val="99"/>
    <w:qFormat/>
    <w:pPr>
      <w:jc w:val="center"/>
      <w:spacing w:line="360" w:lineRule="auto"/>
    </w:pPr>
    <w:rPr>
      <w:sz w:val="24"/>
    </w:rPr>
  </w:style>
  <w:style w:type="paragraph" w:styleId="1137" w:customStyle="1">
    <w:name w:val="xl24"/>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customStyle="1">
    <w:name w:val="xl29"/>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9" w:customStyle="1">
    <w:name w:val="正文 + 楷体_GB2312"/>
    <w:basedOn w:val="806"/>
    <w:qFormat/>
    <w:pPr>
      <w:jc w:val="left"/>
      <w:widowControl/>
    </w:pPr>
    <w:rPr>
      <w:rFonts w:ascii="楷体_GB2312" w:eastAsia="楷体_GB2312" w:cs="Arial"/>
      <w:sz w:val="24"/>
    </w:rPr>
  </w:style>
  <w:style w:type="paragraph" w:styleId="1140" w:customStyle="1">
    <w:name w:val="xl34"/>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1" w:customStyle="1">
    <w:name w:val="1 Char Char Char Char"/>
    <w:basedOn w:val="806"/>
    <w:qFormat/>
    <w:rPr>
      <w:rFonts w:ascii="Tahoma" w:hAnsi="Tahoma"/>
      <w:sz w:val="24"/>
      <w:szCs w:val="20"/>
    </w:rPr>
  </w:style>
  <w:style w:type="paragraph" w:styleId="1142" w:customStyle="1">
    <w:name w:val="列出段落1"/>
    <w:basedOn w:val="806"/>
    <w:qFormat/>
    <w:pPr>
      <w:ind w:firstLine="420"/>
    </w:pPr>
    <w:rPr>
      <w:rFonts w:ascii="Calibri" w:hAnsi="Calibri"/>
      <w:szCs w:val="22"/>
    </w:rPr>
  </w:style>
  <w:style w:type="paragraph" w:styleId="1143" w:customStyle="1">
    <w:name w:val="default"/>
    <w:basedOn w:val="806"/>
    <w:qFormat/>
    <w:pPr>
      <w:jc w:val="left"/>
      <w:spacing w:before="100" w:beforeAutospacing="1" w:after="100" w:afterAutospacing="1"/>
      <w:widowControl/>
    </w:pPr>
    <w:rPr>
      <w:rFonts w:ascii="宋体" w:hAnsi="宋体" w:cs="宋体"/>
      <w:sz w:val="24"/>
    </w:rPr>
  </w:style>
  <w:style w:type="paragraph" w:styleId="1144" w:customStyle="1">
    <w:name w:val="字元 字元1"/>
    <w:basedOn w:val="806"/>
    <w:qFormat/>
    <w:rPr>
      <w:rFonts w:ascii="Tahoma" w:hAnsi="Tahoma"/>
      <w:sz w:val="24"/>
      <w:szCs w:val="20"/>
    </w:rPr>
  </w:style>
  <w:style w:type="paragraph" w:styleId="1145" w:customStyle="1">
    <w:name w:val="_Style 160"/>
    <w:qFormat/>
    <w:rPr>
      <w:sz w:val="21"/>
      <w:szCs w:val="24"/>
    </w:rPr>
  </w:style>
  <w:style w:type="paragraph" w:styleId="1146" w:customStyle="1">
    <w:name w:val="项目编号3"/>
    <w:basedOn w:val="1107"/>
    <w:qFormat/>
    <w:pPr>
      <w:numPr>
        <w:numId w:val="6"/>
      </w:numPr>
    </w:pPr>
  </w:style>
  <w:style w:type="paragraph" w:styleId="1147" w:customStyle="1">
    <w:name w:val="Char21"/>
    <w:basedOn w:val="806"/>
    <w:qFormat/>
    <w:rPr>
      <w:rFonts w:ascii="Tahoma" w:hAnsi="Tahoma"/>
      <w:sz w:val="24"/>
      <w:szCs w:val="20"/>
    </w:rPr>
  </w:style>
  <w:style w:type="paragraph" w:styleId="1148" w:customStyle="1">
    <w:name w:val="表格文字"/>
    <w:basedOn w:val="1011"/>
    <w:qFormat/>
    <w:pPr>
      <w:ind w:firstLine="0"/>
      <w:spacing w:before="20" w:after="20" w:line="240" w:lineRule="auto"/>
    </w:pPr>
    <w:rPr>
      <w:rFonts w:ascii="Century Gothic" w:hAnsi="Century Gothic"/>
      <w:sz w:val="20"/>
      <w:szCs w:val="20"/>
    </w:rPr>
  </w:style>
  <w:style w:type="paragraph" w:styleId="1149" w:customStyle="1">
    <w:name w:val="Char Char Char Char Char Char Char Char Char Char1"/>
    <w:basedOn w:val="806"/>
    <w:qFormat/>
    <w:rPr>
      <w:rFonts w:ascii="宋体" w:hAnsi="宋体" w:cs="Courier New"/>
      <w:sz w:val="32"/>
      <w:szCs w:val="32"/>
    </w:rPr>
  </w:style>
  <w:style w:type="paragraph" w:styleId="1150" w:customStyle="1">
    <w:name w:val="正文文本样式 加粗"/>
    <w:basedOn w:val="1107"/>
    <w:qFormat/>
    <w:rPr>
      <w:b/>
    </w:rPr>
  </w:style>
  <w:style w:type="paragraph" w:styleId="1151" w:customStyle="1">
    <w:name w:val="Char2 Char Char Char Char Char Char"/>
    <w:basedOn w:val="806"/>
    <w:qFormat/>
    <w:pPr>
      <w:jc w:val="center"/>
      <w:spacing w:line="400" w:lineRule="exact"/>
      <w:widowControl/>
    </w:pPr>
  </w:style>
  <w:style w:type="paragraph" w:styleId="1152" w:customStyle="1">
    <w:name w:val="Char Char4"/>
    <w:basedOn w:val="806"/>
    <w:qFormat/>
    <w:pPr>
      <w:jc w:val="center"/>
      <w:spacing w:line="400" w:lineRule="exact"/>
      <w:widowControl/>
    </w:pPr>
  </w:style>
  <w:style w:type="paragraph" w:styleId="1153" w:customStyle="1">
    <w:name w:val="Char3 Char Char Char1"/>
    <w:basedOn w:val="806"/>
    <w:qFormat/>
    <w:rPr>
      <w:rFonts w:ascii="Tahoma" w:hAnsi="Tahoma"/>
      <w:sz w:val="24"/>
      <w:szCs w:val="20"/>
    </w:rPr>
  </w:style>
  <w:style w:type="paragraph" w:styleId="1154" w:customStyle="1">
    <w:name w:val="22222222222222"/>
    <w:basedOn w:val="806"/>
    <w:qFormat/>
    <w:pPr>
      <w:ind w:firstLine="480"/>
      <w:jc w:val="left"/>
      <w:spacing w:line="360" w:lineRule="auto"/>
      <w:widowControl/>
    </w:pPr>
    <w:rPr>
      <w:color w:val="ff0000"/>
      <w:sz w:val="24"/>
      <w:szCs w:val="20"/>
    </w:rPr>
  </w:style>
  <w:style w:type="character" w:styleId="1155" w:customStyle="1">
    <w:name w:val="中等深浅网格 1 - 强调文字颜色 2 Char"/>
    <w:link w:val="1156"/>
    <w:qFormat/>
    <w:rPr>
      <w:sz w:val="21"/>
      <w:szCs w:val="24"/>
      <w:lang w:val="zh-CN" w:eastAsia="zh-CN" w:bidi="ar-SA"/>
    </w:rPr>
  </w:style>
  <w:style w:type="paragraph" w:styleId="1156" w:customStyle="1">
    <w:name w:val="1"/>
    <w:link w:val="1155"/>
    <w:qFormat/>
    <w:rPr>
      <w:sz w:val="21"/>
      <w:szCs w:val="24"/>
      <w:lang w:val="zh-CN"/>
    </w:rPr>
  </w:style>
  <w:style w:type="paragraph" w:styleId="1157" w:customStyle="1">
    <w:name w:val="图文"/>
    <w:basedOn w:val="806"/>
    <w:qFormat/>
    <w:pPr>
      <w:spacing w:after="50" w:line="360" w:lineRule="auto"/>
    </w:pPr>
    <w:rPr>
      <w:sz w:val="24"/>
    </w:rPr>
  </w:style>
  <w:style w:type="paragraph" w:styleId="1158" w:customStyle="1">
    <w:name w:val="xl23"/>
    <w:basedOn w:val="806"/>
    <w:qFormat/>
    <w:pPr>
      <w:spacing w:before="100" w:beforeAutospacing="1" w:after="100" w:afterAutospacing="1" w:line="360" w:lineRule="auto"/>
      <w:widowControl/>
    </w:pPr>
    <w:rPr>
      <w:sz w:val="24"/>
      <w:szCs w:val="20"/>
    </w:rPr>
  </w:style>
  <w:style w:type="paragraph" w:styleId="1159" w:customStyle="1">
    <w:name w:val="正文表格"/>
    <w:basedOn w:val="806"/>
    <w:link w:val="1160"/>
    <w:qFormat/>
    <w:pPr>
      <w:jc w:val="left"/>
    </w:pPr>
    <w:rPr>
      <w:rFonts w:ascii="宋体" w:hAnsi="宋体"/>
      <w:color w:val="000000"/>
      <w:szCs w:val="21"/>
    </w:rPr>
  </w:style>
  <w:style w:type="character" w:styleId="1160" w:customStyle="1">
    <w:name w:val="正文表格 Char"/>
    <w:link w:val="1159"/>
    <w:qFormat/>
    <w:rPr>
      <w:rFonts w:ascii="宋体" w:hAnsi="宋体"/>
      <w:color w:val="000000"/>
      <w:sz w:val="21"/>
      <w:szCs w:val="21"/>
    </w:rPr>
  </w:style>
  <w:style w:type="paragraph" w:styleId="1161" w:customStyle="1">
    <w:name w:val="正文重点"/>
    <w:basedOn w:val="806"/>
    <w:link w:val="1162"/>
    <w:qFormat/>
    <w:pPr>
      <w:ind w:firstLine="482"/>
      <w:jc w:val="left"/>
      <w:spacing w:line="360" w:lineRule="auto"/>
    </w:pPr>
    <w:rPr>
      <w:b/>
      <w:sz w:val="24"/>
      <w:szCs w:val="20"/>
    </w:rPr>
  </w:style>
  <w:style w:type="character" w:styleId="1162" w:customStyle="1">
    <w:name w:val="正文重点 Char"/>
    <w:link w:val="1161"/>
    <w:qFormat/>
    <w:rPr>
      <w:b/>
      <w:sz w:val="24"/>
    </w:rPr>
  </w:style>
  <w:style w:type="paragraph" w:styleId="1163" w:customStyle="1">
    <w:name w:val="标题1-附件"/>
    <w:basedOn w:val="807"/>
    <w:qFormat/>
    <w:pPr>
      <w:jc w:val="left"/>
    </w:pPr>
    <w:rPr>
      <w:sz w:val="24"/>
      <w:szCs w:val="24"/>
    </w:rPr>
  </w:style>
  <w:style w:type="paragraph" w:styleId="1164" w:customStyle="1">
    <w:name w:val="正文小标题"/>
    <w:basedOn w:val="806"/>
    <w:next w:val="820"/>
    <w:link w:val="1165"/>
    <w:qFormat/>
    <w:pPr>
      <w:ind w:firstLine="482"/>
      <w:jc w:val="left"/>
      <w:spacing w:before="312" w:after="312"/>
    </w:pPr>
    <w:rPr>
      <w:rFonts w:ascii="宋体" w:hAnsi="宋体"/>
      <w:b/>
      <w:i/>
      <w:color w:val="ff0000"/>
      <w:sz w:val="24"/>
      <w:szCs w:val="20"/>
    </w:rPr>
  </w:style>
  <w:style w:type="character" w:styleId="1165" w:customStyle="1">
    <w:name w:val="正文小标题 Char"/>
    <w:link w:val="1164"/>
    <w:qFormat/>
    <w:rPr>
      <w:rFonts w:ascii="宋体" w:hAnsi="宋体"/>
      <w:b/>
      <w:i/>
      <w:color w:val="ff0000"/>
      <w:sz w:val="24"/>
    </w:rPr>
  </w:style>
  <w:style w:type="paragraph" w:styleId="1166" w:customStyle="1">
    <w:name w:val="正文大标题"/>
    <w:basedOn w:val="1164"/>
    <w:next w:val="820"/>
    <w:link w:val="1167"/>
    <w:qFormat/>
    <w:pPr>
      <w:jc w:val="center"/>
    </w:pPr>
    <w:rPr>
      <w:i w:val="0"/>
      <w:color w:val="000000"/>
      <w:sz w:val="28"/>
      <w:szCs w:val="21"/>
    </w:rPr>
  </w:style>
  <w:style w:type="character" w:styleId="1167" w:customStyle="1">
    <w:name w:val="正文大标题 Char"/>
    <w:link w:val="1166"/>
    <w:qFormat/>
    <w:rPr>
      <w:rFonts w:ascii="宋体" w:hAnsi="宋体"/>
      <w:b/>
      <w:color w:val="000000"/>
      <w:sz w:val="28"/>
      <w:szCs w:val="21"/>
    </w:rPr>
  </w:style>
  <w:style w:type="paragraph" w:styleId="1168" w:customStyle="1">
    <w:name w:val="注释"/>
    <w:basedOn w:val="806"/>
    <w:link w:val="1169"/>
    <w:qFormat/>
    <w:pPr>
      <w:ind w:left="420" w:hanging="420"/>
      <w:jc w:val="left"/>
    </w:pPr>
    <w:rPr>
      <w:rFonts w:ascii="宋体" w:hAnsi="宋体"/>
      <w:szCs w:val="21"/>
    </w:rPr>
  </w:style>
  <w:style w:type="character" w:styleId="1169" w:customStyle="1">
    <w:name w:val="注释 Char"/>
    <w:link w:val="1168"/>
    <w:qFormat/>
    <w:rPr>
      <w:rFonts w:ascii="宋体" w:hAnsi="宋体"/>
      <w:sz w:val="21"/>
      <w:szCs w:val="21"/>
    </w:rPr>
  </w:style>
  <w:style w:type="paragraph" w:styleId="1170" w:customStyle="1">
    <w:name w:val="正文须知-1级"/>
    <w:basedOn w:val="806"/>
    <w:next w:val="806"/>
    <w:qFormat/>
    <w:pPr>
      <w:numPr>
        <w:numId w:val="7"/>
      </w:numPr>
      <w:spacing w:line="300" w:lineRule="auto"/>
    </w:pPr>
    <w:rPr>
      <w:rFonts w:ascii="宋体" w:hAnsi="Calibri"/>
      <w:sz w:val="24"/>
      <w:szCs w:val="21"/>
    </w:rPr>
  </w:style>
  <w:style w:type="paragraph" w:styleId="1171" w:customStyle="1">
    <w:name w:val="正文须知-2级"/>
    <w:basedOn w:val="806"/>
    <w:qFormat/>
    <w:pPr>
      <w:numPr>
        <w:ilvl w:val="1"/>
        <w:numId w:val="7"/>
      </w:numPr>
      <w:spacing w:line="300" w:lineRule="auto"/>
    </w:pPr>
    <w:rPr>
      <w:rFonts w:ascii="宋体" w:hAnsi="Calibri"/>
      <w:sz w:val="24"/>
      <w:szCs w:val="21"/>
    </w:rPr>
  </w:style>
  <w:style w:type="paragraph" w:styleId="1172" w:customStyle="1">
    <w:name w:val="正文须知-3级"/>
    <w:basedOn w:val="806"/>
    <w:qFormat/>
    <w:pPr>
      <w:numPr>
        <w:ilvl w:val="2"/>
        <w:numId w:val="7"/>
      </w:numPr>
      <w:ind w:hanging="355"/>
      <w:spacing w:line="300" w:lineRule="auto"/>
    </w:pPr>
    <w:rPr>
      <w:rFonts w:ascii="宋体" w:hAnsi="Calibri"/>
      <w:sz w:val="24"/>
      <w:szCs w:val="21"/>
    </w:rPr>
  </w:style>
  <w:style w:type="character" w:styleId="1173" w:customStyle="1">
    <w:name w:val="纯文本 字符"/>
    <w:uiPriority w:val="99"/>
    <w:qFormat/>
    <w:rPr>
      <w:rFonts w:ascii="宋体" w:hAnsi="Courier New" w:eastAsia="宋体" w:cs="Times New Roman"/>
      <w:sz w:val="21"/>
      <w:szCs w:val="21"/>
      <w:lang w:val="en-US" w:eastAsia="zh-CN" w:bidi="ar-SA"/>
    </w:rPr>
  </w:style>
  <w:style w:type="paragraph" w:styleId="1174" w:customStyle="1">
    <w:name w:val="表格1"/>
    <w:basedOn w:val="806"/>
    <w:qFormat/>
    <w:pPr>
      <w:ind w:firstLine="480"/>
      <w:jc w:val="center"/>
    </w:pPr>
    <w:rPr>
      <w:sz w:val="24"/>
      <w:szCs w:val="20"/>
    </w:rPr>
  </w:style>
  <w:style w:type="character" w:styleId="1175" w:customStyle="1">
    <w:name w:val="纯文本 字符1"/>
    <w:qFormat/>
    <w:rPr>
      <w:rFonts w:ascii="宋体" w:hAnsi="Courier New"/>
    </w:rPr>
  </w:style>
  <w:style w:type="character" w:styleId="1176" w:customStyle="1">
    <w:name w:val="bjh-p"/>
    <w:qFormat/>
  </w:style>
  <w:style w:type="paragraph" w:styleId="1177" w:customStyle="1">
    <w:name w:val="无标题条"/>
    <w:next w:val="806"/>
    <w:qFormat/>
    <w:pPr>
      <w:jc w:val="both"/>
    </w:pPr>
    <w:rPr>
      <w:sz w:val="21"/>
    </w:rPr>
  </w:style>
  <w:style w:type="character" w:styleId="1178" w:customStyle="1">
    <w:name w:val="正文格式 Char"/>
    <w:link w:val="1179"/>
    <w:qFormat/>
    <w:rPr>
      <w:rFonts w:ascii="宋体" w:hAnsi="宋体"/>
      <w:sz w:val="24"/>
      <w:szCs w:val="24"/>
      <w:lang w:val="en-GB"/>
    </w:rPr>
  </w:style>
  <w:style w:type="paragraph" w:styleId="1179" w:customStyle="1">
    <w:name w:val="正文格式"/>
    <w:basedOn w:val="806"/>
    <w:link w:val="1178"/>
    <w:qFormat/>
    <w:pPr>
      <w:ind w:firstLine="480"/>
      <w:spacing w:line="360" w:lineRule="auto"/>
    </w:pPr>
    <w:rPr>
      <w:rFonts w:ascii="宋体" w:hAnsi="宋体"/>
      <w:sz w:val="24"/>
      <w:lang w:val="en-GB"/>
    </w:rPr>
  </w:style>
  <w:style w:type="character" w:styleId="1180" w:customStyle="1">
    <w:name w:val="标题 3 Char"/>
    <w:uiPriority w:val="99"/>
    <w:qFormat/>
    <w:rPr>
      <w:rFonts w:ascii="宋体" w:eastAsia="宋体"/>
      <w:b/>
      <w:sz w:val="24"/>
      <w:u w:val="single"/>
      <w:lang w:val="en-US" w:eastAsia="zh-CN" w:bidi="ar-SA"/>
    </w:rPr>
  </w:style>
  <w:style w:type="character" w:styleId="1181" w:customStyle="1">
    <w:name w:val="正文缩进 Char"/>
    <w:uiPriority w:val="99"/>
    <w:qFormat/>
    <w:rPr>
      <w:rFonts w:ascii="宋体" w:eastAsia="宋体"/>
      <w:sz w:val="24"/>
      <w:szCs w:val="24"/>
      <w:lang w:val="en-US" w:eastAsia="zh-CN" w:bidi="ar-SA"/>
    </w:rPr>
  </w:style>
  <w:style w:type="character" w:styleId="1182" w:customStyle="1">
    <w:name w:val="Char Char111"/>
    <w:qFormat/>
    <w:rPr>
      <w:rFonts w:ascii="宋体" w:eastAsia="宋体"/>
      <w:b/>
      <w:sz w:val="24"/>
      <w:u w:val="single"/>
      <w:lang w:val="en-US" w:eastAsia="zh-CN" w:bidi="ar-SA"/>
    </w:rPr>
  </w:style>
  <w:style w:type="character" w:styleId="1183" w:customStyle="1">
    <w:name w:val="正文文本缩进 Char"/>
    <w:qFormat/>
    <w:rPr>
      <w:rFonts w:eastAsia="宋体"/>
      <w:sz w:val="24"/>
      <w:szCs w:val="24"/>
      <w:lang w:val="en-US" w:eastAsia="zh-CN" w:bidi="ar-SA"/>
    </w:rPr>
  </w:style>
  <w:style w:type="character" w:styleId="1184" w:customStyle="1">
    <w:name w:val="列出段落 Char"/>
    <w:uiPriority w:val="34"/>
    <w:qFormat/>
    <w:rPr>
      <w:rFonts w:ascii="Calibri" w:hAnsi="Calibri" w:eastAsia="宋体"/>
      <w:sz w:val="21"/>
      <w:szCs w:val="22"/>
      <w:lang w:val="en-US" w:eastAsia="zh-CN" w:bidi="ar-SA"/>
    </w:rPr>
  </w:style>
  <w:style w:type="character" w:styleId="1185" w:customStyle="1">
    <w:name w:val="页眉 Char"/>
    <w:uiPriority w:val="99"/>
    <w:qFormat/>
    <w:rPr>
      <w:rFonts w:eastAsia="宋体"/>
      <w:sz w:val="18"/>
      <w:szCs w:val="18"/>
      <w:lang w:val="en-US" w:eastAsia="zh-CN" w:bidi="ar-SA"/>
    </w:rPr>
  </w:style>
  <w:style w:type="character" w:styleId="1186" w:customStyle="1">
    <w:name w:val="标题 2 Char"/>
    <w:uiPriority w:val="99"/>
    <w:qFormat/>
    <w:rPr>
      <w:rFonts w:ascii="Arial" w:hAnsi="Arial" w:eastAsia="黑体"/>
      <w:b/>
      <w:sz w:val="30"/>
      <w:lang w:val="en-US" w:eastAsia="zh-CN" w:bidi="ar-SA"/>
    </w:rPr>
  </w:style>
  <w:style w:type="paragraph" w:styleId="1187" w:customStyle="1">
    <w:name w:val="字元 字元2"/>
    <w:basedOn w:val="806"/>
    <w:qFormat/>
    <w:rPr>
      <w:rFonts w:ascii="Tahoma" w:hAnsi="Tahoma"/>
      <w:sz w:val="24"/>
      <w:szCs w:val="20"/>
    </w:rPr>
  </w:style>
  <w:style w:type="paragraph" w:styleId="1188" w:customStyle="1">
    <w:name w:val="Char3 Char Char Char2"/>
    <w:basedOn w:val="806"/>
    <w:qFormat/>
    <w:rPr>
      <w:rFonts w:ascii="Tahoma" w:hAnsi="Tahoma"/>
      <w:sz w:val="24"/>
      <w:szCs w:val="20"/>
    </w:rPr>
  </w:style>
  <w:style w:type="paragraph" w:styleId="1189" w:customStyle="1">
    <w:name w:val="正文文本缩进2"/>
    <w:basedOn w:val="806"/>
    <w:qFormat/>
    <w:pPr>
      <w:ind w:firstLine="480"/>
      <w:spacing w:line="480" w:lineRule="exact"/>
    </w:pPr>
    <w:rPr>
      <w:rFonts w:ascii="宋体" w:hAnsi="宋体"/>
      <w:sz w:val="24"/>
      <w:lang w:val="zh-CN"/>
    </w:rPr>
  </w:style>
  <w:style w:type="paragraph" w:styleId="1190" w:customStyle="1">
    <w:name w:val="Char3"/>
    <w:basedOn w:val="806"/>
    <w:qFormat/>
    <w:pPr>
      <w:tabs>
        <w:tab w:val="left" w:pos="360" w:leader="none"/>
      </w:tabs>
    </w:pPr>
    <w:rPr>
      <w:sz w:val="24"/>
    </w:rPr>
  </w:style>
  <w:style w:type="paragraph" w:styleId="1191" w:customStyle="1">
    <w:name w:val="Char Char Char Char Char Char Char Char Char Char Char Char Char Char Char Char1"/>
    <w:basedOn w:val="806"/>
    <w:qFormat/>
    <w:pPr>
      <w:jc w:val="center"/>
      <w:spacing w:after="160" w:line="240" w:lineRule="exact"/>
      <w:widowControl/>
    </w:pPr>
    <w:rPr>
      <w:rFonts w:ascii="宋体" w:hAnsi="宋体"/>
      <w:b/>
      <w:sz w:val="30"/>
      <w:szCs w:val="30"/>
      <w:lang w:eastAsia="en-US"/>
    </w:rPr>
  </w:style>
  <w:style w:type="paragraph" w:styleId="1192" w:customStyle="1">
    <w:name w:val="Char Char1 Char Char Char Char Char Char1"/>
    <w:basedOn w:val="806"/>
    <w:qFormat/>
    <w:pPr>
      <w:jc w:val="left"/>
      <w:spacing w:after="160" w:line="240" w:lineRule="exact"/>
      <w:widowControl/>
    </w:pPr>
    <w:rPr>
      <w:rFonts w:ascii="Verdana" w:hAnsi="Verdana" w:eastAsia="仿宋_GB2312"/>
      <w:sz w:val="24"/>
      <w:szCs w:val="20"/>
      <w:lang w:eastAsia="en-US"/>
    </w:rPr>
  </w:style>
  <w:style w:type="paragraph" w:styleId="1193" w:customStyle="1">
    <w:name w:val="列出段落2"/>
    <w:basedOn w:val="806"/>
    <w:qFormat/>
    <w:pPr>
      <w:ind w:firstLine="420"/>
    </w:pPr>
    <w:rPr>
      <w:rFonts w:ascii="Calibri" w:hAnsi="Calibri"/>
      <w:szCs w:val="22"/>
    </w:rPr>
  </w:style>
  <w:style w:type="paragraph" w:styleId="1194" w:customStyle="1">
    <w:name w:val="Char Char Char1 Char2"/>
    <w:basedOn w:val="806"/>
    <w:uiPriority w:val="99"/>
    <w:qFormat/>
    <w:rPr>
      <w:rFonts w:ascii="Tahoma" w:hAnsi="Tahoma"/>
      <w:sz w:val="24"/>
      <w:szCs w:val="20"/>
    </w:rPr>
  </w:style>
  <w:style w:type="paragraph" w:styleId="1195" w:customStyle="1">
    <w:name w:val="Char Char Char2"/>
    <w:basedOn w:val="806"/>
    <w:qFormat/>
    <w:rPr>
      <w:rFonts w:ascii="Tahoma" w:hAnsi="Tahoma"/>
      <w:sz w:val="24"/>
      <w:szCs w:val="20"/>
    </w:rPr>
  </w:style>
  <w:style w:type="paragraph" w:styleId="1196" w:customStyle="1">
    <w:name w:val="Char Char Char Char Char Char Char2"/>
    <w:basedOn w:val="806"/>
    <w:qFormat/>
    <w:pPr>
      <w:ind w:firstLine="200"/>
      <w:spacing w:line="360" w:lineRule="auto"/>
    </w:pPr>
    <w:rPr>
      <w:rFonts w:eastAsia="仿宋_GB2312"/>
      <w:sz w:val="24"/>
    </w:rPr>
  </w:style>
  <w:style w:type="paragraph" w:styleId="1197" w:customStyle="1">
    <w:name w:val="正文缩进2"/>
    <w:basedOn w:val="806"/>
    <w:qFormat/>
    <w:pPr>
      <w:ind w:firstLine="567"/>
      <w:spacing w:line="480" w:lineRule="exact"/>
      <w:widowControl/>
    </w:pPr>
    <w:rPr>
      <w:rFonts w:ascii="宋体"/>
      <w:color w:val="000000"/>
      <w:sz w:val="28"/>
      <w:szCs w:val="20"/>
      <w:lang w:val="zh-CN"/>
    </w:rPr>
  </w:style>
  <w:style w:type="paragraph" w:styleId="1198" w:customStyle="1">
    <w:name w:val="Revision1"/>
    <w:qFormat/>
    <w:rPr>
      <w:sz w:val="21"/>
      <w:szCs w:val="24"/>
    </w:rPr>
  </w:style>
  <w:style w:type="paragraph" w:styleId="1199" w:customStyle="1">
    <w:name w:val="Char22"/>
    <w:basedOn w:val="806"/>
    <w:qFormat/>
    <w:rPr>
      <w:rFonts w:ascii="Tahoma" w:hAnsi="Tahoma"/>
      <w:sz w:val="24"/>
      <w:szCs w:val="20"/>
    </w:rPr>
  </w:style>
  <w:style w:type="paragraph" w:styleId="1200" w:customStyle="1">
    <w:name w:val="Char Char Char Char Char Char Char Char Char Char2"/>
    <w:basedOn w:val="806"/>
    <w:qFormat/>
    <w:rPr>
      <w:rFonts w:ascii="宋体" w:hAnsi="宋体" w:cs="Courier New"/>
      <w:sz w:val="32"/>
      <w:szCs w:val="32"/>
    </w:rPr>
  </w:style>
  <w:style w:type="paragraph" w:styleId="1201" w:customStyle="1">
    <w:name w:val="Char2 Char Char Char Char Char Char1"/>
    <w:basedOn w:val="806"/>
    <w:qFormat/>
    <w:pPr>
      <w:jc w:val="center"/>
      <w:spacing w:line="400" w:lineRule="exact"/>
      <w:widowControl/>
    </w:pPr>
  </w:style>
  <w:style w:type="character" w:styleId="1202" w:customStyle="1">
    <w:name w:val="页脚 Char"/>
    <w:uiPriority w:val="99"/>
    <w:qFormat/>
    <w:rPr>
      <w:rFonts w:ascii="宋体" w:eastAsia="宋体"/>
      <w:sz w:val="18"/>
      <w:lang w:val="en-US" w:eastAsia="zh-CN" w:bidi="ar-SA"/>
    </w:rPr>
  </w:style>
  <w:style w:type="paragraph" w:styleId="1203" w:customStyle="1">
    <w:name w:val="Char Char41"/>
    <w:basedOn w:val="806"/>
    <w:qFormat/>
    <w:pPr>
      <w:jc w:val="center"/>
      <w:spacing w:line="400" w:lineRule="exact"/>
      <w:widowControl/>
    </w:pPr>
  </w:style>
  <w:style w:type="character" w:styleId="1204" w:customStyle="1">
    <w:name w:val="批注文字 Char"/>
    <w:uiPriority w:val="99"/>
    <w:qFormat/>
    <w:rPr>
      <w:sz w:val="21"/>
      <w:szCs w:val="24"/>
    </w:rPr>
  </w:style>
  <w:style w:type="character" w:styleId="1205" w:customStyle="1">
    <w:name w:val="标题 Char"/>
    <w:qFormat/>
    <w:rPr>
      <w:b/>
      <w:sz w:val="32"/>
    </w:rPr>
  </w:style>
  <w:style w:type="paragraph" w:styleId="1206" w:customStyle="1">
    <w:name w:val="图例"/>
    <w:basedOn w:val="806"/>
    <w:qFormat/>
    <w:pPr>
      <w:jc w:val="center"/>
      <w:spacing w:before="120" w:after="120" w:line="360" w:lineRule="auto"/>
    </w:pPr>
    <w:rPr>
      <w:rFonts w:eastAsia="仿宋_GB2312"/>
      <w:b/>
      <w:sz w:val="24"/>
      <w:szCs w:val="20"/>
    </w:rPr>
  </w:style>
  <w:style w:type="table" w:styleId="1207"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08" w:customStyle="1">
    <w:name w:val="Table Paragraph"/>
    <w:basedOn w:val="806"/>
    <w:uiPriority w:val="1"/>
    <w:qFormat/>
    <w:pPr>
      <w:jc w:val="left"/>
    </w:pPr>
    <w:rPr>
      <w:rFonts w:ascii="宋体" w:hAnsi="宋体" w:cs="宋体"/>
      <w:sz w:val="22"/>
      <w:szCs w:val="22"/>
      <w:lang w:eastAsia="en-US"/>
    </w:rPr>
  </w:style>
  <w:style w:type="paragraph" w:styleId="1209" w:customStyle="1">
    <w:name w:val="成文日期"/>
    <w:basedOn w:val="806"/>
    <w:link w:val="1210"/>
    <w:qFormat/>
    <w:pPr>
      <w:ind w:right="400" w:firstLine="200"/>
      <w:jc w:val="right"/>
      <w:spacing w:line="570" w:lineRule="exact"/>
    </w:pPr>
    <w:rPr>
      <w:rFonts w:ascii="仿宋_GB2312" w:eastAsia="仿宋_GB2312"/>
      <w:sz w:val="32"/>
      <w:szCs w:val="20"/>
    </w:rPr>
  </w:style>
  <w:style w:type="character" w:styleId="1210" w:customStyle="1">
    <w:name w:val="成文日期 Char"/>
    <w:link w:val="1209"/>
    <w:qFormat/>
    <w:rPr>
      <w:rFonts w:ascii="仿宋_GB2312" w:eastAsia="仿宋_GB2312"/>
      <w:sz w:val="32"/>
    </w:rPr>
  </w:style>
  <w:style w:type="paragraph" w:styleId="1211">
    <w:name w:val="Revision"/>
    <w:uiPriority w:val="99"/>
    <w:unhideWhenUsed/>
    <w:rPr>
      <w:sz w:val="21"/>
      <w:szCs w:val="24"/>
    </w:rPr>
  </w:style>
  <w:style w:type="paragraph" w:styleId="1212" w:customStyle="1">
    <w:name w:val="正文1"/>
    <w:basedOn w:val="806"/>
    <w:qFormat/>
    <w:pPr>
      <w:contextualSpacing/>
      <w:ind w:firstLine="200"/>
      <w:jc w:val="left"/>
      <w:spacing w:before="120" w:after="120"/>
      <w:widowControl/>
    </w:pPr>
    <w:rPr>
      <w:rFonts w:ascii="Calibri" w:hAnsi="Calibri" w:eastAsia="Adobe 仿宋 Std R"/>
      <w:sz w:val="20"/>
      <w:szCs w:val="21"/>
    </w:rPr>
  </w:style>
  <w:style w:type="character" w:styleId="1213" w:customStyle="1">
    <w:name w:val="材料标题 Char"/>
    <w:link w:val="1214"/>
    <w:qFormat/>
    <w:rPr>
      <w:rFonts w:ascii="方正小标宋简体" w:eastAsia="方正小标宋简体"/>
      <w:color w:val="000000"/>
      <w:sz w:val="44"/>
      <w:szCs w:val="44"/>
    </w:rPr>
  </w:style>
  <w:style w:type="paragraph" w:styleId="1214" w:customStyle="1">
    <w:name w:val="材料标题"/>
    <w:basedOn w:val="806"/>
    <w:link w:val="1213"/>
    <w:qFormat/>
    <w:pPr>
      <w:jc w:val="center"/>
      <w:spacing w:line="700" w:lineRule="exact"/>
    </w:pPr>
    <w:rPr>
      <w:rFonts w:ascii="方正小标宋简体" w:eastAsia="方正小标宋简体"/>
      <w:color w:val="000000"/>
      <w:sz w:val="44"/>
      <w:szCs w:val="44"/>
    </w:rPr>
  </w:style>
  <w:style w:type="character" w:styleId="1215" w:customStyle="1">
    <w:name w:val="未处理的提及1"/>
    <w:uiPriority w:val="99"/>
    <w:unhideWhenUsed/>
    <w:rPr>
      <w:color w:val="605e5c"/>
      <w:shd w:val="clear" w:color="auto" w:fill="e1dfdd"/>
    </w:rPr>
  </w:style>
  <w:style w:type="character" w:styleId="1216" w:customStyle="1">
    <w:name w:val="grame"/>
  </w:style>
  <w:style w:type="paragraph" w:styleId="1217" w:customStyle="1">
    <w:name w:val="_Style 259"/>
    <w:uiPriority w:val="99"/>
    <w:qFormat/>
    <w:rPr>
      <w:sz w:val="21"/>
      <w:szCs w:val="24"/>
    </w:rPr>
  </w:style>
  <w:style w:type="character" w:styleId="1218" w:customStyle="1">
    <w:name w:val="☆ 正文 Char"/>
    <w:link w:val="1219"/>
    <w:qFormat/>
    <w:rPr>
      <w:sz w:val="21"/>
      <w:szCs w:val="22"/>
    </w:rPr>
  </w:style>
  <w:style w:type="paragraph" w:styleId="1219" w:customStyle="1">
    <w:name w:val="☆ 正文"/>
    <w:basedOn w:val="806"/>
    <w:link w:val="1218"/>
    <w:qFormat/>
    <w:rPr>
      <w:szCs w:val="22"/>
    </w:rPr>
  </w:style>
  <w:style w:type="paragraph" w:styleId="1220" w:customStyle="1">
    <w:name w:val="_Style 493"/>
    <w:basedOn w:val="806"/>
    <w:next w:val="839"/>
    <w:qFormat/>
    <w:pPr>
      <w:ind w:firstLine="420"/>
    </w:pPr>
    <w:rPr>
      <w:rFonts w:ascii="Calibri" w:hAnsi="Calibri"/>
      <w:szCs w:val="22"/>
    </w:rPr>
  </w:style>
  <w:style w:type="paragraph" w:styleId="1221" w:customStyle="1">
    <w:name w:val="二级目录"/>
    <w:next w:val="806"/>
    <w:uiPriority w:val="99"/>
    <w:qFormat/>
    <w:pPr>
      <w:ind w:left="720" w:hanging="720"/>
      <w:tabs>
        <w:tab w:val="left" w:pos="720" w:leader="none"/>
      </w:tabs>
      <w:outlineLvl w:val="1"/>
    </w:pPr>
    <w:rPr>
      <w:rFonts w:cs="Calibri"/>
      <w:b/>
      <w:bCs/>
      <w:sz w:val="30"/>
      <w:szCs w:val="30"/>
    </w:rPr>
  </w:style>
  <w:style w:type="table" w:styleId="1222" w:customStyle="1">
    <w:name w:val="中等深浅网格 1 - 着色 21"/>
    <w:basedOn w:val="817"/>
    <w:qFormat/>
    <w:rPr>
      <w:sz w:val="21"/>
      <w:szCs w:val="24"/>
    </w:rPr>
    <w:tblPr/>
  </w:style>
  <w:style w:type="character" w:styleId="1223" w:customStyle="1">
    <w:name w:val="访问过的超链接1"/>
    <w:uiPriority w:val="99"/>
    <w:qFormat/>
    <w:rPr>
      <w:color w:val="333333"/>
      <w:u w:val="none"/>
    </w:rPr>
  </w:style>
  <w:style w:type="paragraph" w:styleId="1224" w:customStyle="1">
    <w:name w:val="列出段落11"/>
    <w:basedOn w:val="806"/>
    <w:qFormat/>
    <w:pPr>
      <w:ind w:firstLine="420"/>
    </w:pPr>
    <w:rPr>
      <w:rFonts w:ascii="Calibri" w:hAnsi="Calibri"/>
      <w:szCs w:val="22"/>
    </w:rPr>
  </w:style>
  <w:style w:type="paragraph" w:styleId="1225" w:customStyle="1">
    <w:name w:val="无间隔1"/>
    <w:qFormat/>
    <w:pPr>
      <w:jc w:val="both"/>
      <w:widowControl w:val="off"/>
    </w:pPr>
    <w:rPr>
      <w:sz w:val="21"/>
      <w:szCs w:val="24"/>
    </w:rPr>
  </w:style>
  <w:style w:type="paragraph" w:styleId="1226" w:customStyle="1">
    <w:name w:val="修订1"/>
    <w:qFormat/>
    <w:rPr>
      <w:sz w:val="21"/>
      <w:szCs w:val="24"/>
    </w:rPr>
  </w:style>
  <w:style w:type="paragraph" w:styleId="1227" w:customStyle="1">
    <w:name w:val="修订2"/>
    <w:uiPriority w:val="99"/>
    <w:unhideWhenUsed/>
    <w:qFormat/>
    <w:rPr>
      <w:sz w:val="21"/>
      <w:szCs w:val="24"/>
    </w:rPr>
  </w:style>
  <w:style w:type="paragraph" w:styleId="1228" w:customStyle="1">
    <w:name w:val="msolistparagraph"/>
    <w:basedOn w:val="806"/>
    <w:qFormat/>
    <w:pPr>
      <w:ind w:firstLine="420"/>
    </w:pPr>
    <w:rPr>
      <w:rFonts w:ascii="Calibri" w:hAnsi="Calibri"/>
      <w:sz w:val="20"/>
      <w:szCs w:val="22"/>
    </w:rPr>
  </w:style>
  <w:style w:type="paragraph" w:styleId="1229" w:customStyle="1">
    <w:name w:val="首行缩进"/>
    <w:basedOn w:val="806"/>
    <w:qFormat/>
    <w:pPr>
      <w:ind w:firstLine="480"/>
      <w:jc w:val="left"/>
      <w:spacing w:line="360" w:lineRule="auto"/>
    </w:pPr>
    <w:rPr>
      <w:rFonts w:ascii="宋体" w:hAnsi="宋体"/>
      <w:sz w:val="20"/>
      <w:szCs w:val="22"/>
    </w:rPr>
  </w:style>
  <w:style w:type="paragraph" w:styleId="1230" w:customStyle="1">
    <w:name w:val="xl65"/>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1" w:customStyle="1">
    <w:name w:val="xl66"/>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2" w:customStyle="1">
    <w:name w:val="xl67"/>
    <w:basedOn w:val="806"/>
    <w:qFormat/>
    <w:pPr>
      <w:jc w:val="center"/>
      <w:spacing w:before="100" w:beforeAutospacing="1" w:after="100" w:afterAutospacing="1"/>
      <w:widowControl/>
    </w:pPr>
    <w:rPr>
      <w:rFonts w:ascii="宋体" w:hAnsi="宋体" w:cs="宋体"/>
      <w:b/>
      <w:bCs/>
      <w:sz w:val="18"/>
      <w:szCs w:val="18"/>
    </w:rPr>
  </w:style>
  <w:style w:type="paragraph" w:styleId="1233" w:customStyle="1">
    <w:name w:val="xl68"/>
    <w:basedOn w:val="806"/>
    <w:qFormat/>
    <w:pPr>
      <w:jc w:val="center"/>
      <w:spacing w:before="100" w:beforeAutospacing="1" w:after="100" w:afterAutospacing="1"/>
      <w:widowControl/>
    </w:pPr>
    <w:rPr>
      <w:rFonts w:ascii="宋体" w:hAnsi="宋体" w:cs="宋体"/>
      <w:sz w:val="24"/>
    </w:rPr>
  </w:style>
  <w:style w:type="paragraph" w:styleId="1234" w:customStyle="1">
    <w:name w:val="xl69"/>
    <w:basedOn w:val="8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35" w:customStyle="1">
    <w:name w:val="xl70"/>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6" w:customStyle="1">
    <w:name w:val="xl71"/>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7" w:customStyle="1">
    <w:name w:val="xl72"/>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8" w:customStyle="1">
    <w:name w:val="xl73"/>
    <w:basedOn w:val="806"/>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39" w:customStyle="1">
    <w:name w:val="xl74"/>
    <w:basedOn w:val="8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0" w:customStyle="1">
    <w:name w:val="xl75"/>
    <w:basedOn w:val="80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41" w:customStyle="1">
    <w:name w:val="xl76"/>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2" w:customStyle="1">
    <w:name w:val="xl77"/>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3" w:customStyle="1">
    <w:name w:val="xl78"/>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4" w:customStyle="1">
    <w:name w:val="xl79"/>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5" w:customStyle="1">
    <w:name w:val="xl80"/>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6" w:customStyle="1">
    <w:name w:val="xl81"/>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7" w:customStyle="1">
    <w:name w:val="xl82"/>
    <w:basedOn w:val="8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48" w:customStyle="1">
    <w:name w:val="xl83"/>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9" w:customStyle="1">
    <w:name w:val="xl84"/>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customStyle="1">
    <w:name w:val="xl85"/>
    <w:basedOn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1" w:customStyle="1">
    <w:name w:val="xl86"/>
    <w:basedOn w:val="8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2" w:customStyle="1">
    <w:name w:val="xl87"/>
    <w:basedOn w:val="8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3" w:customStyle="1">
    <w:name w:val="xl88"/>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4" w:customStyle="1">
    <w:name w:val="xl89"/>
    <w:basedOn w:val="8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5" w:customStyle="1">
    <w:name w:val="xl90"/>
    <w:basedOn w:val="806"/>
    <w:qFormat/>
    <w:pPr>
      <w:jc w:val="center"/>
      <w:spacing w:before="100" w:beforeAutospacing="1" w:after="100" w:afterAutospacing="1"/>
      <w:widowControl/>
    </w:pPr>
    <w:rPr>
      <w:rFonts w:ascii="宋体" w:hAnsi="宋体" w:cs="宋体"/>
      <w:b/>
      <w:bCs/>
      <w:sz w:val="24"/>
    </w:rPr>
  </w:style>
  <w:style w:type="paragraph" w:styleId="1256" w:customStyle="1">
    <w:name w:val="xl91"/>
    <w:basedOn w:val="806"/>
    <w:pPr>
      <w:jc w:val="center"/>
      <w:spacing w:before="100" w:beforeAutospacing="1" w:after="100" w:afterAutospacing="1"/>
      <w:widowControl/>
    </w:pPr>
    <w:rPr>
      <w:rFonts w:ascii="宋体" w:hAnsi="宋体" w:cs="宋体"/>
      <w:sz w:val="24"/>
    </w:rPr>
  </w:style>
  <w:style w:type="paragraph" w:styleId="1257" w:customStyle="1">
    <w:name w:val="xl92"/>
    <w:basedOn w:val="806"/>
    <w:qFormat/>
    <w:pPr>
      <w:jc w:val="left"/>
      <w:spacing w:before="100" w:beforeAutospacing="1" w:after="100" w:afterAutospacing="1"/>
      <w:widowControl/>
    </w:pPr>
    <w:rPr>
      <w:rFonts w:ascii="宋体" w:hAnsi="宋体" w:cs="宋体"/>
      <w:sz w:val="24"/>
    </w:rPr>
  </w:style>
  <w:style w:type="paragraph" w:styleId="1258" w:customStyle="1">
    <w:name w:val="xl93"/>
    <w:basedOn w:val="806"/>
    <w:qFormat/>
    <w:pPr>
      <w:jc w:val="left"/>
      <w:spacing w:before="100" w:beforeAutospacing="1" w:after="100" w:afterAutospacing="1"/>
      <w:widowControl/>
    </w:pPr>
    <w:rPr>
      <w:rFonts w:ascii="宋体" w:hAnsi="宋体" w:cs="宋体"/>
      <w:sz w:val="24"/>
    </w:rPr>
  </w:style>
  <w:style w:type="paragraph" w:styleId="1259" w:customStyle="1">
    <w:name w:val="xl94"/>
    <w:basedOn w:val="806"/>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0" w:customStyle="1">
    <w:name w:val="xl95"/>
    <w:basedOn w:val="8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1" w:customStyle="1">
    <w:name w:val="xl96"/>
    <w:basedOn w:val="806"/>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2" w:customStyle="1">
    <w:name w:val="xl97"/>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63" w:customStyle="1">
    <w:name w:val="font41"/>
    <w:qFormat/>
    <w:rPr>
      <w:rFonts w:hint="eastAsia" w:ascii="宋体" w:hAnsi="宋体" w:eastAsia="宋体" w:cs="宋体"/>
      <w:color w:val="000000"/>
      <w:sz w:val="20"/>
      <w:szCs w:val="20"/>
      <w:u w:val="none"/>
    </w:rPr>
  </w:style>
  <w:style w:type="character" w:styleId="1264" w:customStyle="1">
    <w:name w:val="font21"/>
    <w:qFormat/>
    <w:rPr>
      <w:rFonts w:ascii="Times New Roman" w:hAnsi="Times New Roman" w:cs="Times New Roman"/>
      <w:color w:val="000000"/>
      <w:sz w:val="20"/>
      <w:szCs w:val="20"/>
      <w:u w:val="none"/>
    </w:rPr>
  </w:style>
  <w:style w:type="paragraph" w:styleId="1265" w:customStyle="1">
    <w:name w:val="xl98"/>
    <w:basedOn w:val="806"/>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66" w:customStyle="1">
    <w:name w:val="xl99"/>
    <w:basedOn w:val="806"/>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7" w:customStyle="1">
    <w:name w:val="正文文本缩进 Char Char"/>
    <w:basedOn w:val="806"/>
    <w:uiPriority w:val="99"/>
    <w:qFormat/>
    <w:pPr>
      <w:ind w:left="420"/>
      <w:spacing w:after="120"/>
    </w:pPr>
    <w:rPr>
      <w:szCs w:val="20"/>
    </w:rPr>
  </w:style>
  <w:style w:type="character" w:styleId="1268" w:customStyle="1">
    <w:name w:val="font31"/>
    <w:qFormat/>
    <w:rPr>
      <w:rFonts w:hint="eastAsia" w:ascii="宋体" w:hAnsi="宋体" w:eastAsia="宋体" w:cs="宋体"/>
      <w:i w:val="0"/>
      <w:color w:val="000000"/>
      <w:sz w:val="22"/>
      <w:szCs w:val="22"/>
      <w:u w:val="none"/>
    </w:rPr>
  </w:style>
  <w:style w:type="character" w:styleId="1269" w:customStyle="1">
    <w:name w:val="Placeholder Text1"/>
    <w:uiPriority w:val="99"/>
    <w:semiHidden/>
    <w:qFormat/>
    <w:rPr>
      <w:rFonts w:cs="Times New Roman"/>
      <w:color w:val="808080"/>
    </w:rPr>
  </w:style>
  <w:style w:type="character" w:styleId="1270" w:customStyle="1">
    <w:name w:val="font01"/>
    <w:rPr>
      <w:rFonts w:ascii="font-weight : 400" w:hAnsi="font-weight : 400" w:eastAsia="font-weight : 400" w:cs="font-weight : 400"/>
      <w:i w:val="0"/>
      <w:color w:val="000000"/>
      <w:sz w:val="22"/>
      <w:szCs w:val="22"/>
      <w:u w:val="none"/>
    </w:rPr>
  </w:style>
  <w:style w:type="character" w:styleId="1271" w:customStyle="1">
    <w:name w:val="info1"/>
    <w:uiPriority w:val="99"/>
    <w:qFormat/>
    <w:rPr>
      <w:sz w:val="29"/>
    </w:rPr>
  </w:style>
  <w:style w:type="character" w:styleId="1272" w:customStyle="1">
    <w:name w:val="font11"/>
    <w:rPr>
      <w:rFonts w:hint="eastAsia" w:ascii="宋体" w:hAnsi="宋体" w:eastAsia="宋体" w:cs="宋体"/>
      <w:i w:val="0"/>
      <w:color w:val="000000"/>
      <w:sz w:val="22"/>
      <w:szCs w:val="22"/>
      <w:u w:val="none"/>
    </w:rPr>
  </w:style>
  <w:style w:type="character" w:styleId="1273" w:customStyle="1">
    <w:name w:val="引用 Char"/>
    <w:link w:val="1274"/>
    <w:uiPriority w:val="99"/>
    <w:qFormat/>
    <w:rPr>
      <w:rFonts w:eastAsia="仿宋_GB2312"/>
      <w:color w:val="000000"/>
      <w:sz w:val="24"/>
    </w:rPr>
  </w:style>
  <w:style w:type="paragraph" w:styleId="1274" w:customStyle="1">
    <w:name w:val="引用1"/>
    <w:basedOn w:val="806"/>
    <w:next w:val="806"/>
    <w:link w:val="1273"/>
    <w:uiPriority w:val="99"/>
    <w:qFormat/>
    <w:rPr>
      <w:rFonts w:eastAsia="仿宋_GB2312"/>
      <w:color w:val="000000"/>
      <w:sz w:val="24"/>
      <w:szCs w:val="20"/>
    </w:rPr>
  </w:style>
  <w:style w:type="character" w:styleId="1275" w:customStyle="1">
    <w:name w:val="已访问的超链接1"/>
    <w:uiPriority w:val="99"/>
    <w:qFormat/>
    <w:rPr>
      <w:rFonts w:ascii="Times New Roman"/>
    </w:rPr>
  </w:style>
  <w:style w:type="paragraph" w:styleId="1276" w:customStyle="1">
    <w:name w:val="Char Char Char Char1"/>
    <w:basedOn w:val="806"/>
    <w:uiPriority w:val="99"/>
    <w:qFormat/>
    <w:pPr>
      <w:ind w:firstLine="200"/>
      <w:spacing w:line="360" w:lineRule="auto"/>
    </w:pPr>
    <w:rPr>
      <w:szCs w:val="20"/>
    </w:rPr>
  </w:style>
  <w:style w:type="paragraph" w:styleId="1277" w:customStyle="1">
    <w:name w:val="xl105"/>
    <w:basedOn w:val="806"/>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78" w:customStyle="1">
    <w:name w:val="p0"/>
    <w:basedOn w:val="806"/>
    <w:uiPriority w:val="99"/>
    <w:qFormat/>
    <w:pPr>
      <w:widowControl/>
    </w:pPr>
    <w:rPr>
      <w:szCs w:val="20"/>
    </w:rPr>
  </w:style>
  <w:style w:type="paragraph" w:styleId="1279" w:customStyle="1">
    <w:name w:val="样式4"/>
    <w:basedOn w:val="808"/>
    <w:uiPriority w:val="99"/>
    <w:qFormat/>
    <w:pPr>
      <w:spacing w:before="0" w:line="240" w:lineRule="auto"/>
    </w:pPr>
    <w:rPr>
      <w:b w:val="0"/>
      <w:sz w:val="28"/>
    </w:rPr>
  </w:style>
  <w:style w:type="paragraph" w:styleId="1280" w:customStyle="1">
    <w:name w:val="Char Char Char1 Char4"/>
    <w:basedOn w:val="806"/>
    <w:uiPriority w:val="99"/>
    <w:qFormat/>
    <w:pPr>
      <w:ind w:firstLine="200"/>
      <w:spacing w:line="360" w:lineRule="auto"/>
    </w:pPr>
    <w:rPr>
      <w:rFonts w:ascii="宋体" w:hAnsi="宋体"/>
      <w:sz w:val="24"/>
      <w:szCs w:val="20"/>
    </w:rPr>
  </w:style>
  <w:style w:type="paragraph" w:styleId="1281" w:customStyle="1">
    <w:name w:val="Char Char Char Char"/>
    <w:basedOn w:val="806"/>
    <w:uiPriority w:val="99"/>
    <w:qFormat/>
    <w:rPr>
      <w:szCs w:val="20"/>
    </w:rPr>
  </w:style>
  <w:style w:type="paragraph" w:styleId="1282" w:customStyle="1">
    <w:name w:val="Char Char Char1 Char6"/>
    <w:basedOn w:val="806"/>
    <w:uiPriority w:val="99"/>
    <w:qFormat/>
    <w:pPr>
      <w:ind w:firstLine="200"/>
      <w:spacing w:line="360" w:lineRule="auto"/>
    </w:pPr>
    <w:rPr>
      <w:rFonts w:ascii="宋体" w:hAnsi="宋体"/>
      <w:sz w:val="24"/>
      <w:szCs w:val="20"/>
    </w:rPr>
  </w:style>
  <w:style w:type="paragraph" w:styleId="1283" w:customStyle="1">
    <w:name w:val="正文文本缩进 3 Char Char"/>
    <w:basedOn w:val="806"/>
    <w:uiPriority w:val="99"/>
    <w:qFormat/>
    <w:pPr>
      <w:ind w:firstLine="479"/>
      <w:spacing w:line="400" w:lineRule="exact"/>
    </w:pPr>
    <w:rPr>
      <w:rFonts w:ascii="仿宋_GB2312" w:eastAsia="仿宋_GB2312"/>
      <w:szCs w:val="20"/>
    </w:rPr>
  </w:style>
  <w:style w:type="paragraph" w:styleId="1284" w:customStyle="1">
    <w:name w:val="Char Char Char1 Char Char Char Char"/>
    <w:basedOn w:val="806"/>
    <w:uiPriority w:val="99"/>
    <w:qFormat/>
    <w:rPr>
      <w:rFonts w:ascii="宋体" w:hAnsi="宋体" w:cs="Courier New"/>
      <w:sz w:val="32"/>
      <w:szCs w:val="32"/>
    </w:rPr>
  </w:style>
  <w:style w:type="paragraph" w:styleId="1285" w:customStyle="1">
    <w:name w:val="xl103"/>
    <w:basedOn w:val="8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6" w:customStyle="1">
    <w:name w:val="样式1"/>
    <w:basedOn w:val="808"/>
    <w:uiPriority w:val="99"/>
    <w:qFormat/>
    <w:pPr>
      <w:spacing w:before="0" w:line="415" w:lineRule="auto"/>
    </w:pPr>
    <w:rPr>
      <w:b w:val="0"/>
      <w:sz w:val="28"/>
    </w:rPr>
  </w:style>
  <w:style w:type="paragraph" w:styleId="1287" w:customStyle="1">
    <w:name w:val="xl100"/>
    <w:basedOn w:val="8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88" w:customStyle="1">
    <w:name w:val="xl104"/>
    <w:basedOn w:val="8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89" w:customStyle="1">
    <w:name w:val="xl101"/>
    <w:basedOn w:val="806"/>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90" w:customStyle="1">
    <w:name w:val="Char Char Char1 Char8"/>
    <w:basedOn w:val="806"/>
    <w:uiPriority w:val="99"/>
    <w:qFormat/>
    <w:pPr>
      <w:ind w:firstLine="200"/>
      <w:spacing w:line="360" w:lineRule="auto"/>
    </w:pPr>
    <w:rPr>
      <w:szCs w:val="20"/>
    </w:rPr>
  </w:style>
  <w:style w:type="paragraph" w:styleId="1291" w:customStyle="1">
    <w:name w:val="Char Char Char1 Char5"/>
    <w:basedOn w:val="806"/>
    <w:uiPriority w:val="99"/>
    <w:qFormat/>
    <w:pPr>
      <w:ind w:firstLine="200"/>
      <w:spacing w:line="360" w:lineRule="auto"/>
    </w:pPr>
    <w:rPr>
      <w:rFonts w:ascii="宋体" w:hAnsi="宋体"/>
      <w:sz w:val="24"/>
      <w:szCs w:val="20"/>
    </w:rPr>
  </w:style>
  <w:style w:type="paragraph" w:styleId="1292" w:customStyle="1">
    <w:name w:val="普通(网站)1"/>
    <w:basedOn w:val="806"/>
    <w:uiPriority w:val="99"/>
    <w:qFormat/>
    <w:pPr>
      <w:jc w:val="left"/>
      <w:spacing w:before="100" w:beforeAutospacing="1" w:after="100" w:afterAutospacing="1"/>
      <w:widowControl/>
    </w:pPr>
    <w:rPr>
      <w:rFonts w:ascii="宋体" w:hAnsi="宋体"/>
      <w:sz w:val="24"/>
      <w:szCs w:val="20"/>
    </w:rPr>
  </w:style>
  <w:style w:type="paragraph" w:styleId="1293" w:customStyle="1">
    <w:name w:val="样式3"/>
    <w:basedOn w:val="808"/>
    <w:uiPriority w:val="99"/>
    <w:qFormat/>
    <w:pPr>
      <w:spacing w:before="0" w:line="240" w:lineRule="auto"/>
    </w:pPr>
    <w:rPr>
      <w:b w:val="0"/>
      <w:sz w:val="28"/>
    </w:rPr>
  </w:style>
  <w:style w:type="paragraph" w:styleId="1294" w:customStyle="1">
    <w:name w:val="xl106"/>
    <w:basedOn w:val="8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95" w:customStyle="1">
    <w:name w:val="_Style 49"/>
    <w:basedOn w:val="806"/>
    <w:next w:val="1015"/>
    <w:uiPriority w:val="99"/>
    <w:qFormat/>
    <w:rPr>
      <w:rFonts w:ascii="宋体" w:hAnsi="Courier New"/>
      <w:sz w:val="24"/>
      <w:szCs w:val="20"/>
    </w:rPr>
  </w:style>
  <w:style w:type="paragraph" w:styleId="1296" w:customStyle="1">
    <w:name w:val="xl64"/>
    <w:basedOn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7" w:customStyle="1">
    <w:name w:val="Char Char Char1 Char3"/>
    <w:basedOn w:val="806"/>
    <w:uiPriority w:val="99"/>
    <w:qFormat/>
    <w:pPr>
      <w:ind w:firstLine="200"/>
      <w:spacing w:line="360" w:lineRule="auto"/>
    </w:pPr>
    <w:rPr>
      <w:rFonts w:ascii="宋体" w:hAnsi="宋体"/>
      <w:sz w:val="24"/>
      <w:szCs w:val="20"/>
    </w:rPr>
  </w:style>
  <w:style w:type="paragraph" w:styleId="1298" w:customStyle="1">
    <w:name w:val="Char Char Char1 Char7"/>
    <w:basedOn w:val="806"/>
    <w:uiPriority w:val="99"/>
    <w:qFormat/>
    <w:pPr>
      <w:ind w:firstLine="200"/>
      <w:spacing w:line="360" w:lineRule="auto"/>
    </w:pPr>
    <w:rPr>
      <w:rFonts w:ascii="宋体" w:hAnsi="宋体"/>
      <w:sz w:val="24"/>
      <w:szCs w:val="20"/>
    </w:rPr>
  </w:style>
  <w:style w:type="paragraph" w:styleId="1299" w:customStyle="1">
    <w:name w:val="xl63"/>
    <w:basedOn w:val="8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0" w:customStyle="1">
    <w:name w:val="xl102"/>
    <w:basedOn w:val="80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01" w:customStyle="1">
    <w:name w:val="默认段落字体 Para Char Char Char Char Char Char Char Char Char1 Char Char Char Char Char Char Char Char"/>
    <w:basedOn w:val="1003"/>
    <w:qFormat/>
  </w:style>
  <w:style w:type="paragraph" w:styleId="1302" w:customStyle="1">
    <w:name w:val="xl107"/>
    <w:basedOn w:val="80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3" w:customStyle="1">
    <w:name w:val="msonormal"/>
    <w:basedOn w:val="806"/>
    <w:pPr>
      <w:jc w:val="left"/>
      <w:spacing w:before="100" w:beforeAutospacing="1" w:after="100" w:afterAutospacing="1"/>
      <w:widowControl/>
    </w:pPr>
    <w:rPr>
      <w:rFonts w:ascii="宋体" w:hAnsi="宋体" w:cs="宋体"/>
      <w:sz w:val="24"/>
    </w:rPr>
  </w:style>
  <w:style w:type="character" w:styleId="1304" w:customStyle="1">
    <w:name w:val="批注文字 字符1"/>
    <w:uiPriority w:val="99"/>
    <w:qFormat/>
    <w:rPr>
      <w:sz w:val="21"/>
      <w:szCs w:val="24"/>
    </w:rPr>
  </w:style>
  <w:style w:type="paragraph" w:styleId="1305" w:customStyle="1">
    <w:name w:val="主要内容"/>
    <w:basedOn w:val="806"/>
    <w:qFormat/>
    <w:pPr>
      <w:ind w:firstLine="480"/>
      <w:spacing w:line="360" w:lineRule="auto"/>
      <w:widowControl/>
    </w:pPr>
    <w:rPr>
      <w:rFonts w:ascii="宋体" w:hAnsi="宋体"/>
      <w:bCs/>
      <w:color w:val="000000"/>
      <w:sz w:val="24"/>
      <w:szCs w:val="20"/>
    </w:rPr>
  </w:style>
  <w:style w:type="paragraph" w:styleId="1306" w:customStyle="1">
    <w:name w:val="Body text|1"/>
    <w:basedOn w:val="806"/>
    <w:qFormat/>
    <w:pPr>
      <w:ind w:firstLine="400"/>
      <w:jc w:val="left"/>
      <w:spacing w:line="360" w:lineRule="auto"/>
    </w:pPr>
    <w:rPr>
      <w:rFonts w:ascii="宋体" w:hAnsi="宋体" w:cs="宋体"/>
      <w:sz w:val="22"/>
      <w:szCs w:val="22"/>
      <w:lang w:val="zh-TW" w:eastAsia="zh-TW" w:bidi="zh-TW"/>
    </w:rPr>
  </w:style>
  <w:style w:type="character" w:styleId="1307" w:customStyle="1">
    <w:name w:val="NormalCharacter1"/>
    <w:qFormat/>
    <w:rPr>
      <w:rFonts w:ascii="Times New Roman" w:hAnsi="Times New Roman" w:eastAsia="宋体" w:cs="Times New Roman"/>
      <w:sz w:val="21"/>
      <w:szCs w:val="24"/>
      <w:lang w:val="en-US" w:eastAsia="zh-CN" w:bidi="ar-SA"/>
    </w:rPr>
  </w:style>
  <w:style w:type="character" w:styleId="1308" w:customStyle="1">
    <w:name w:val="列表段落 字符"/>
    <w:uiPriority w:val="34"/>
    <w:qFormat/>
    <w:rPr>
      <w:rFonts w:ascii="Calibri" w:hAnsi="Calibri" w:eastAsia="宋体"/>
    </w:rPr>
  </w:style>
  <w:style w:type="paragraph" w:styleId="1309" w:customStyle="1">
    <w:name w:val="正文_1"/>
    <w:qFormat/>
    <w:pPr>
      <w:jc w:val="both"/>
      <w:widowControl w:val="off"/>
    </w:pPr>
    <w:rPr>
      <w:sz w:val="21"/>
    </w:rPr>
  </w:style>
  <w:style w:type="character" w:styleId="1310" w:customStyle="1">
    <w:name w:val="normaltextrun"/>
    <w:qFormat/>
  </w:style>
  <w:style w:type="character" w:styleId="1311" w:customStyle="1">
    <w:name w:val="标题 1 Char"/>
    <w:uiPriority w:val="99"/>
    <w:qFormat/>
    <w:rPr>
      <w:rFonts w:ascii="宋体"/>
      <w:b/>
      <w:sz w:val="32"/>
    </w:rPr>
  </w:style>
  <w:style w:type="character" w:styleId="1312" w:customStyle="1">
    <w:name w:val="标题 2 Char1"/>
    <w:qFormat/>
    <w:rPr>
      <w:rFonts w:ascii="Arial" w:hAnsi="Arial" w:eastAsia="黑体"/>
      <w:b/>
      <w:sz w:val="30"/>
      <w:lang w:val="en-US" w:eastAsia="zh-CN" w:bidi="ar-SA"/>
    </w:rPr>
  </w:style>
  <w:style w:type="character" w:styleId="1313" w:customStyle="1">
    <w:name w:val="正文缩进 Char1"/>
    <w:qFormat/>
    <w:rPr>
      <w:rFonts w:ascii="宋体" w:eastAsia="宋体"/>
      <w:sz w:val="24"/>
      <w:szCs w:val="24"/>
      <w:lang w:val="en-US" w:eastAsia="zh-CN" w:bidi="ar-SA"/>
    </w:rPr>
  </w:style>
  <w:style w:type="character" w:styleId="1314" w:customStyle="1">
    <w:name w:val="标题 3 Char1"/>
    <w:uiPriority w:val="99"/>
    <w:qFormat/>
    <w:rPr>
      <w:rFonts w:ascii="宋体" w:eastAsia="宋体"/>
      <w:b/>
      <w:sz w:val="24"/>
      <w:u w:val="single"/>
      <w:lang w:val="en-US" w:eastAsia="zh-CN" w:bidi="ar-SA"/>
    </w:rPr>
  </w:style>
  <w:style w:type="character" w:styleId="1315" w:customStyle="1">
    <w:name w:val="标题 4 Char"/>
    <w:qFormat/>
    <w:rPr>
      <w:rFonts w:ascii="Arial" w:hAnsi="Arial" w:eastAsia="黑体"/>
      <w:b/>
      <w:sz w:val="28"/>
    </w:rPr>
  </w:style>
  <w:style w:type="character" w:styleId="1316" w:customStyle="1">
    <w:name w:val="标题 5 Char"/>
    <w:qFormat/>
    <w:rPr>
      <w:b/>
      <w:sz w:val="28"/>
    </w:rPr>
  </w:style>
  <w:style w:type="character" w:styleId="1317" w:customStyle="1">
    <w:name w:val="标题 6 Char"/>
    <w:qFormat/>
    <w:rPr>
      <w:rFonts w:ascii="Arial" w:hAnsi="Arial" w:eastAsia="黑体"/>
      <w:b/>
      <w:sz w:val="24"/>
    </w:rPr>
  </w:style>
  <w:style w:type="character" w:styleId="1318" w:customStyle="1">
    <w:name w:val="标题 7 Char"/>
    <w:qFormat/>
    <w:rPr>
      <w:b/>
      <w:sz w:val="24"/>
    </w:rPr>
  </w:style>
  <w:style w:type="character" w:styleId="1319" w:customStyle="1">
    <w:name w:val="标题 8 Char"/>
    <w:qFormat/>
    <w:rPr>
      <w:rFonts w:ascii="Arial" w:hAnsi="Arial" w:eastAsia="黑体"/>
      <w:sz w:val="24"/>
    </w:rPr>
  </w:style>
  <w:style w:type="character" w:styleId="1320" w:customStyle="1">
    <w:name w:val="标题 9 Char"/>
    <w:qFormat/>
    <w:rPr>
      <w:rFonts w:ascii="Arial" w:hAnsi="Arial" w:eastAsia="黑体"/>
      <w:sz w:val="21"/>
    </w:rPr>
  </w:style>
  <w:style w:type="character" w:styleId="1321" w:customStyle="1">
    <w:name w:val="文档结构图 Char"/>
    <w:qFormat/>
    <w:rPr>
      <w:sz w:val="21"/>
      <w:szCs w:val="24"/>
      <w:shd w:val="clear" w:color="auto" w:fill="000080"/>
    </w:rPr>
  </w:style>
  <w:style w:type="character" w:styleId="1322" w:customStyle="1">
    <w:name w:val="批注文字 Char1"/>
    <w:uiPriority w:val="99"/>
    <w:qFormat/>
    <w:rPr>
      <w:sz w:val="21"/>
      <w:szCs w:val="24"/>
    </w:rPr>
  </w:style>
  <w:style w:type="character" w:styleId="1323" w:customStyle="1">
    <w:name w:val="正文文本 3 Char"/>
    <w:qFormat/>
    <w:rPr>
      <w:sz w:val="16"/>
      <w:szCs w:val="16"/>
    </w:rPr>
  </w:style>
  <w:style w:type="character" w:styleId="1324" w:customStyle="1">
    <w:name w:val="正文文本 Char"/>
    <w:qFormat/>
    <w:rPr>
      <w:rFonts w:ascii="宋体" w:hAnsi="宋体"/>
      <w:sz w:val="24"/>
      <w:szCs w:val="24"/>
    </w:rPr>
  </w:style>
  <w:style w:type="character" w:styleId="1325" w:customStyle="1">
    <w:name w:val="正文文本缩进 Char2"/>
    <w:qFormat/>
    <w:rPr>
      <w:rFonts w:eastAsia="宋体"/>
      <w:sz w:val="24"/>
      <w:szCs w:val="24"/>
      <w:lang w:val="en-US" w:eastAsia="zh-CN" w:bidi="ar-SA"/>
    </w:rPr>
  </w:style>
  <w:style w:type="character" w:styleId="1326" w:customStyle="1">
    <w:name w:val="纯文本 Char"/>
    <w:uiPriority w:val="99"/>
    <w:qFormat/>
    <w:rPr>
      <w:rFonts w:hint="eastAsia" w:ascii="宋体" w:hAnsi="Courier New" w:eastAsia="宋体" w:cs="宋体"/>
      <w:sz w:val="21"/>
    </w:rPr>
  </w:style>
  <w:style w:type="character" w:styleId="1327" w:customStyle="1">
    <w:name w:val="日期 Char"/>
    <w:uiPriority w:val="99"/>
    <w:qFormat/>
    <w:rPr>
      <w:rFonts w:ascii="仿宋_GB2312" w:hAnsi="宋体" w:eastAsia="仿宋_GB2312"/>
      <w:color w:val="000000"/>
      <w:sz w:val="24"/>
      <w:szCs w:val="24"/>
    </w:rPr>
  </w:style>
  <w:style w:type="character" w:styleId="1328" w:customStyle="1">
    <w:name w:val="正文文本缩进 2 Char"/>
    <w:qFormat/>
    <w:rPr>
      <w:rFonts w:ascii="仿宋_GB2312" w:eastAsia="仿宋_GB2312"/>
      <w:sz w:val="24"/>
      <w:szCs w:val="24"/>
    </w:rPr>
  </w:style>
  <w:style w:type="character" w:styleId="1329" w:customStyle="1">
    <w:name w:val="批注框文本 Char"/>
    <w:uiPriority w:val="99"/>
    <w:qFormat/>
    <w:rPr>
      <w:sz w:val="18"/>
      <w:szCs w:val="18"/>
    </w:rPr>
  </w:style>
  <w:style w:type="character" w:styleId="1330" w:customStyle="1">
    <w:name w:val="页脚 Char1"/>
    <w:uiPriority w:val="99"/>
    <w:qFormat/>
    <w:rPr>
      <w:rFonts w:ascii="宋体" w:eastAsia="宋体"/>
      <w:sz w:val="18"/>
      <w:lang w:val="en-US" w:eastAsia="zh-CN" w:bidi="ar-SA"/>
    </w:rPr>
  </w:style>
  <w:style w:type="character" w:styleId="1331" w:customStyle="1">
    <w:name w:val="页眉 Char1"/>
    <w:qFormat/>
    <w:rPr>
      <w:rFonts w:eastAsia="宋体"/>
      <w:sz w:val="18"/>
      <w:szCs w:val="18"/>
      <w:lang w:val="en-US" w:eastAsia="zh-CN" w:bidi="ar-SA"/>
    </w:rPr>
  </w:style>
  <w:style w:type="character" w:styleId="1332" w:customStyle="1">
    <w:name w:val="正文文本缩进 3 Char"/>
    <w:qFormat/>
    <w:rPr>
      <w:rFonts w:ascii="宋体"/>
      <w:sz w:val="24"/>
    </w:rPr>
  </w:style>
  <w:style w:type="character" w:styleId="1333" w:customStyle="1">
    <w:name w:val="HTML 预设格式 Char"/>
    <w:qFormat/>
    <w:rPr>
      <w:rFonts w:ascii="宋体" w:hAnsi="宋体" w:cs="宋体"/>
      <w:sz w:val="24"/>
      <w:szCs w:val="24"/>
    </w:rPr>
  </w:style>
  <w:style w:type="character" w:styleId="1334" w:customStyle="1">
    <w:name w:val="标题 Char1"/>
    <w:qFormat/>
    <w:rPr>
      <w:b/>
      <w:sz w:val="32"/>
    </w:rPr>
  </w:style>
  <w:style w:type="character" w:styleId="1335" w:customStyle="1">
    <w:name w:val="批注主题 Char"/>
    <w:qFormat/>
    <w:rPr>
      <w:rFonts w:ascii="Times New Roman" w:hAnsi="Times New Roman" w:eastAsia="宋体" w:cs="Times New Roman"/>
      <w:b/>
      <w:bCs/>
      <w:sz w:val="21"/>
      <w:szCs w:val="24"/>
      <w:lang w:val="en-US" w:eastAsia="zh-CN" w:bidi="ar-SA"/>
    </w:rPr>
  </w:style>
  <w:style w:type="character" w:styleId="1336" w:customStyle="1">
    <w:name w:val="正文首行缩进 Char"/>
    <w:uiPriority w:val="99"/>
  </w:style>
  <w:style w:type="character" w:styleId="1337" w:customStyle="1">
    <w:name w:val="正文首行缩进 2 Char"/>
    <w:qFormat/>
    <w:rPr>
      <w:rFonts w:eastAsia="宋体"/>
      <w:sz w:val="24"/>
      <w:szCs w:val="24"/>
      <w:lang w:val="en-US" w:eastAsia="zh-CN" w:bidi="ar-SA"/>
    </w:rPr>
  </w:style>
  <w:style w:type="character" w:styleId="1338" w:customStyle="1">
    <w:name w:val="列出段落 Char1"/>
    <w:uiPriority w:val="34"/>
    <w:qFormat/>
    <w:rPr>
      <w:rFonts w:ascii="Calibri" w:hAnsi="Calibri" w:eastAsia="宋体"/>
      <w:sz w:val="21"/>
      <w:szCs w:val="22"/>
      <w:lang w:val="en-US" w:eastAsia="zh-CN" w:bidi="ar-SA"/>
    </w:rPr>
  </w:style>
  <w:style w:type="paragraph" w:styleId="1339" w:customStyle="1">
    <w:name w:val="_Style 2591"/>
    <w:uiPriority w:val="99"/>
    <w:qFormat/>
    <w:rPr>
      <w:sz w:val="21"/>
      <w:szCs w:val="24"/>
    </w:rPr>
  </w:style>
  <w:style w:type="character" w:styleId="1340" w:customStyle="1">
    <w:name w:val="font51"/>
    <w:qFormat/>
    <w:rPr>
      <w:rFonts w:hint="eastAsia" w:ascii="宋体" w:hAnsi="宋体" w:eastAsia="宋体" w:cs="宋体"/>
      <w:color w:val="000000"/>
      <w:sz w:val="18"/>
      <w:szCs w:val="18"/>
      <w:u w:val="none"/>
    </w:rPr>
  </w:style>
  <w:style w:type="character" w:styleId="1341" w:customStyle="1">
    <w:name w:val="font121"/>
    <w:qFormat/>
    <w:rPr>
      <w:rFonts w:hint="eastAsia" w:ascii="宋体" w:hAnsi="宋体" w:eastAsia="宋体" w:cs="宋体"/>
      <w:b/>
      <w:bCs/>
      <w:color w:val="000000"/>
      <w:sz w:val="18"/>
      <w:szCs w:val="18"/>
      <w:u w:val="none"/>
    </w:rPr>
  </w:style>
  <w:style w:type="character" w:styleId="1342" w:customStyle="1">
    <w:name w:val="font131"/>
    <w:qFormat/>
    <w:rPr>
      <w:rFonts w:ascii="Calibri" w:hAnsi="Calibri" w:cs="Calibri"/>
      <w:color w:val="000000"/>
      <w:sz w:val="18"/>
      <w:szCs w:val="18"/>
      <w:u w:val="none"/>
    </w:rPr>
  </w:style>
  <w:style w:type="table" w:styleId="1343" w:customStyle="1">
    <w:name w:val="无格式表格 12"/>
    <w:basedOn w:val="817"/>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44" w:customStyle="1">
    <w:name w:val="网格型浅色1"/>
    <w:basedOn w:val="817"/>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45" w:customStyle="1">
    <w:name w:val="Default Char"/>
    <w:link w:val="1043"/>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钟冠华</cp:lastModifiedBy>
  <cp:revision>43</cp:revision>
  <dcterms:created xsi:type="dcterms:W3CDTF">2025-10-12T06:13:00Z</dcterms:created>
  <dcterms:modified xsi:type="dcterms:W3CDTF">2025-10-21T06:06:49Z</dcterms:modified>
  <cp:version>917504</cp:version>
</cp:coreProperties>
</file>